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2100" w:leader="none"/>
        </w:tabs>
        <w:rPr>
          <w:rFonts w:ascii="宋体" w:hAnsi="宋体" w:cs="宋体"/>
          <w:color w:val="000000" w:themeColor="text1"/>
          <w:sz w:val="36"/>
          <w:highlight w:val="none"/>
          <w14:textFill>
            <w14:solidFill>
              <w14:schemeClr w14:val="tx1"/>
            </w14:solidFill>
          </w14:textFill>
        </w:rPr>
      </w:pPr>
      <w:r/>
      <w:bookmarkStart w:id="0" w:name="_Toc120614210"/>
      <w:r/>
      <w:bookmarkStart w:id="1" w:name="_Toc523127445"/>
      <w:r/>
      <w:bookmarkStart w:id="2" w:name="_Toc16938516"/>
      <w:r/>
      <w:bookmarkStart w:id="3" w:name="_Toc20823272"/>
      <w:r/>
      <w:bookmarkStart w:id="4" w:name="_Toc479757206"/>
      <w:r/>
      <w:bookmarkStart w:id="5" w:name="_Toc513029200"/>
      <w:r/>
      <w:bookmarkStart w:id="193" w:name="_GoBack"/>
      <w:r/>
      <w:r/>
    </w:p>
    <w:p>
      <w:pPr>
        <w:pStyle w:val="790"/>
        <w:ind w:left="1260"/>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pStyle w:val="790"/>
        <w:ind w:left="1260"/>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jc w:val="center"/>
        <w:rPr>
          <w:rFonts w:ascii="仿宋_GB2312" w:hAnsi="仿宋_GB2312" w:eastAsia="仿宋_GB2312" w:cs="仿宋_GB2312"/>
          <w:b/>
          <w:color w:val="000000" w:themeColor="text1"/>
          <w:sz w:val="84"/>
          <w:highlight w:val="none"/>
          <w14:textFill>
            <w14:solidFill>
              <w14:schemeClr w14:val="tx1"/>
            </w14:solidFill>
          </w14:textFill>
        </w:rPr>
      </w:pPr>
      <w:r>
        <w:rPr>
          <w:rFonts w:hint="eastAsia" w:ascii="仿宋_GB2312" w:hAnsi="仿宋_GB2312" w:eastAsia="仿宋_GB2312" w:cs="仿宋_GB2312"/>
          <w:bCs/>
          <w:color w:val="000000" w:themeColor="text1"/>
          <w:sz w:val="84"/>
          <w:highlight w:val="none"/>
          <w14:textFill>
            <w14:solidFill>
              <w14:schemeClr w14:val="tx1"/>
            </w14:solidFill>
          </w14:textFill>
        </w:rPr>
        <w:t xml:space="preserve">招 标 文 件</w:t>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hint="eastAsia" w:ascii="仿宋_GB2312" w:hAnsi="仿宋_GB2312" w:eastAsia="仿宋_GB2312" w:cs="仿宋_GB2312"/>
          <w:b/>
          <w:color w:val="000000" w:themeColor="text1"/>
          <w:sz w:val="36"/>
          <w:highlight w:val="none"/>
          <w14:textFill>
            <w14:solidFill>
              <w14:schemeClr w14:val="tx1"/>
            </w14:solidFill>
          </w14:textFill>
        </w:rPr>
      </w:pPr>
      <w:r>
        <w:rPr>
          <w:rFonts w:hint="eastAsia" w:ascii="仿宋_GB2312" w:hAnsi="仿宋_GB2312" w:eastAsia="仿宋_GB2312" w:cs="仿宋_GB2312"/>
          <w:b/>
          <w:color w:val="000000" w:themeColor="text1"/>
          <w:sz w:val="36"/>
          <w:highlight w:val="none"/>
          <w14:textFill>
            <w14:solidFill>
              <w14:schemeClr w14:val="tx1"/>
            </w14:solidFill>
          </w14:textFill>
        </w:rPr>
        <w:t xml:space="preserve">项目编号：JSZC-320904-JSDZ-G2025-0229</w:t>
      </w:r>
      <w:r/>
    </w:p>
    <w:p>
      <w:pPr>
        <w:rPr>
          <w:rFonts w:ascii="仿宋_GB2312" w:hAnsi="仿宋_GB2312" w:eastAsia="仿宋_GB2312" w:cs="仿宋_GB2312"/>
          <w:b/>
          <w:color w:val="000000" w:themeColor="text1"/>
          <w:sz w:val="36"/>
          <w:szCs w:val="36"/>
          <w:highlight w:val="none"/>
          <w14:textFill>
            <w14:solidFill>
              <w14:schemeClr w14:val="tx1"/>
            </w14:solidFill>
          </w14:textFill>
        </w:rPr>
      </w:pPr>
      <w:r>
        <w:rPr>
          <w:rFonts w:ascii="仿宋_GB2312" w:hAnsi="仿宋_GB2312" w:eastAsia="仿宋_GB2312" w:cs="仿宋_GB2312"/>
          <w:b/>
          <w:color w:val="000000" w:themeColor="text1"/>
          <w:sz w:val="36"/>
          <w:szCs w:val="36"/>
          <w:highlight w:val="none"/>
          <w14:textFill>
            <w14:solidFill>
              <w14:schemeClr w14:val="tx1"/>
            </w14:solidFill>
          </w14:textFill>
        </w:rPr>
      </w:r>
      <w:r/>
    </w:p>
    <w:p>
      <w:pPr>
        <w:ind w:left="-199"/>
        <w:jc w:val="cente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项目名称：</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盐城市大丰人民医院血液科层流病房改造及设备采购项目</w:t>
      </w:r>
      <w:r/>
    </w:p>
    <w:p>
      <w:pPr>
        <w:ind w:firstLine="2244"/>
        <w:rPr>
          <w:rFonts w:ascii="仿宋_GB2312" w:hAnsi="仿宋_GB2312" w:eastAsia="仿宋_GB2312" w:cs="仿宋_GB2312"/>
          <w:b/>
          <w:color w:val="000000" w:themeColor="text1"/>
          <w:sz w:val="30"/>
          <w:szCs w:val="30"/>
          <w:highlight w:val="none"/>
          <w14:textFill>
            <w14:solidFill>
              <w14:schemeClr w14:val="tx1"/>
            </w14:solidFill>
          </w14:textFill>
        </w:rPr>
      </w:pPr>
      <w:r>
        <w:rPr>
          <w:rFonts w:ascii="仿宋_GB2312" w:hAnsi="仿宋_GB2312" w:eastAsia="仿宋_GB2312" w:cs="仿宋_GB2312"/>
          <w:b/>
          <w:color w:val="000000" w:themeColor="text1"/>
          <w:sz w:val="30"/>
          <w:szCs w:val="30"/>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pStyle w:val="818"/>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78"/>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78"/>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78"/>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78"/>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78"/>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spacing w:before="120" w:after="120" w:line="360" w:lineRule="auto"/>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盐城市大丰人民医院</w:t>
      </w:r>
      <w:r/>
    </w:p>
    <w:p>
      <w:pPr>
        <w:jc w:val="center"/>
        <w:spacing w:line="360" w:lineRule="auto"/>
        <w:tabs>
          <w:tab w:val="left" w:pos="7560" w:leader="none"/>
        </w:tabs>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大洲设计咨询集团有限公司</w:t>
      </w:r>
      <w:r/>
    </w:p>
    <w:p>
      <w:pPr>
        <w:jc w:val="center"/>
        <w:spacing w:line="360" w:lineRule="auto"/>
        <w:tabs>
          <w:tab w:val="left" w:pos="7560" w:leader="none"/>
        </w:tabs>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2025年</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 xml:space="preserve">12</w:t>
      </w: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月</w:t>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ascii="宋体" w:hAnsi="宋体" w:cs="宋体"/>
          <w:b/>
          <w:color w:val="000000" w:themeColor="text1"/>
          <w:sz w:val="36"/>
          <w:szCs w:val="36"/>
          <w:highlight w:val="none"/>
          <w14:textFill>
            <w14:solidFill>
              <w14:schemeClr w14:val="tx1"/>
            </w14:solidFill>
          </w14:textFill>
        </w:rPr>
      </w:r>
      <w:r/>
    </w:p>
    <w:p>
      <w:pPr>
        <w:jc w:val="center"/>
        <w:spacing w:line="480" w:lineRule="auto"/>
        <w:rPr>
          <w:rFonts w:ascii="宋体" w:hAnsi="宋体" w:cs="宋体"/>
          <w:b/>
          <w:color w:val="000000" w:themeColor="text1"/>
          <w:sz w:val="36"/>
          <w:szCs w:val="36"/>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40" w:right="1587" w:bottom="1440" w:left="1387" w:header="851" w:footer="907" w:gutter="0"/>
          <w:pgNumType w:start="0"/>
          <w:cols w:num="1" w:sep="0" w:space="720" w:equalWidth="1"/>
          <w:docGrid w:linePitch="360"/>
          <w:titlePg/>
        </w:sectPr>
        <w:outlineLvl w:val="0"/>
      </w:pPr>
      <w:r/>
      <w:bookmarkStart w:id="6" w:name="_Toc11331"/>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b/>
          <w:color w:val="000000" w:themeColor="text1"/>
          <w:sz w:val="36"/>
          <w:szCs w:val="36"/>
          <w:highlight w:val="none"/>
          <w14:textFill>
            <w14:solidFill>
              <w14:schemeClr w14:val="tx1"/>
            </w14:solidFill>
          </w14:textFill>
        </w:rPr>
        <w:t xml:space="preserve">总  目  录</w:t>
      </w:r>
      <w:bookmarkEnd w:id="6"/>
      <w:r/>
      <w:r/>
    </w:p>
    <w:p>
      <w:pPr>
        <w:pStyle w:val="81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TOC \o "1-2" \h \u </w:instrText>
      </w:r>
      <w:r>
        <w:rPr>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"_Toc13791"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第一章 招标公告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_Toc13791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01"/>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"_Toc10475"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第二章 投标人须知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_Toc10475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01"/>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"_Toc18582"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第三章 </w:t>
      </w:r>
      <w:r>
        <w:rPr>
          <w:rFonts w:hint="eastAsia"/>
          <w:color w:val="000000" w:themeColor="text1"/>
          <w:sz w:val="32"/>
          <w:szCs w:val="52"/>
          <w:highlight w:val="none"/>
          <w:lang w:val="en-US" w:eastAsia="zh-CN"/>
          <w14:textFill>
            <w14:solidFill>
              <w14:schemeClr w14:val="tx1"/>
            </w14:solidFill>
          </w14:textFill>
        </w:rPr>
        <w:t xml:space="preserve">采购</w:t>
      </w:r>
      <w:r>
        <w:rPr>
          <w:rFonts w:hint="eastAsia"/>
          <w:color w:val="000000" w:themeColor="text1"/>
          <w:sz w:val="32"/>
          <w:szCs w:val="52"/>
          <w:highlight w:val="none"/>
          <w14:textFill>
            <w14:solidFill>
              <w14:schemeClr w14:val="tx1"/>
            </w14:solidFill>
          </w14:textFill>
        </w:rPr>
        <w:t xml:space="preserve">需求</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9</w:t>
      </w:r>
      <w:r/>
    </w:p>
    <w:p>
      <w:pPr>
        <w:pStyle w:val="801"/>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"_Toc29632"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第四章 </w:t>
      </w:r>
      <w:r>
        <w:rPr>
          <w:rFonts w:hint="eastAsia"/>
          <w:color w:val="000000" w:themeColor="text1"/>
          <w:sz w:val="32"/>
          <w:szCs w:val="52"/>
          <w:highlight w:val="none"/>
          <w14:textFill>
            <w14:solidFill>
              <w14:schemeClr w14:val="tx1"/>
            </w14:solidFill>
          </w14:textFill>
        </w:rPr>
        <w:t xml:space="preserve">评标办法及评分标准</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2</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8</w:t>
      </w:r>
      <w:r/>
    </w:p>
    <w:p>
      <w:pPr>
        <w:pStyle w:val="801"/>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"_Toc1236"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第五章 合同主要条款</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3</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5</w:t>
      </w:r>
      <w:r/>
    </w:p>
    <w:p>
      <w:pPr>
        <w:pStyle w:val="801"/>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"_Toc7692" </w:instrText>
      </w:r>
      <w:r>
        <w:rPr>
          <w:color w:val="000000" w:themeColor="text1"/>
          <w:highlight w:val="none"/>
          <w14:textFill>
            <w14:solidFill>
              <w14:schemeClr w14:val="tx1"/>
            </w14:solidFill>
          </w14:textFill>
        </w:rPr>
        <w:fldChar w:fldCharType="separate"/>
      </w:r>
      <w:r>
        <w:rPr>
          <w:rFonts w:hint="eastAsia"/>
          <w:color w:val="000000" w:themeColor="text1"/>
          <w:sz w:val="32"/>
          <w:szCs w:val="52"/>
          <w:highlight w:val="none"/>
          <w14:textFill>
            <w14:solidFill>
              <w14:schemeClr w14:val="tx1"/>
            </w14:solidFill>
          </w14:textFill>
        </w:rPr>
        <w:t xml:space="preserve">第六章 投标文件及格式</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4</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3</w:t>
      </w:r>
      <w:r/>
    </w:p>
    <w:p>
      <w:pPr>
        <w:pStyle w:val="767"/>
        <w:jc w:val="both"/>
        <w:rPr>
          <w:rFonts w:ascii="黑体"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000000" w:themeColor="text1"/>
          <w:sz w:val="36"/>
          <w:szCs w:val="32"/>
          <w:highlight w:val="none"/>
          <w14:textFill>
            <w14:solidFill>
              <w14:schemeClr w14:val="tx1"/>
            </w14:solidFill>
          </w14:textFill>
        </w:rPr>
        <w:fldChar w:fldCharType="end"/>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7" w:name="_Toc13791"/>
      <w:r>
        <w:rPr>
          <w:rFonts w:hint="eastAsia"/>
          <w:b/>
          <w:color w:val="000000" w:themeColor="text1"/>
          <w:sz w:val="44"/>
          <w:szCs w:val="44"/>
          <w:highlight w:val="none"/>
          <w14:textFill>
            <w14:solidFill>
              <w14:schemeClr w14:val="tx1"/>
            </w14:solidFill>
          </w14:textFill>
        </w:rPr>
        <w:t xml:space="preserve">第一章  </w:t>
      </w:r>
      <w:bookmarkEnd w:id="0"/>
      <w:r>
        <w:rPr>
          <w:rFonts w:hint="eastAsia"/>
          <w:b/>
          <w:color w:val="000000" w:themeColor="text1"/>
          <w:sz w:val="44"/>
          <w:szCs w:val="44"/>
          <w:highlight w:val="none"/>
          <w14:textFill>
            <w14:solidFill>
              <w14:schemeClr w14:val="tx1"/>
            </w14:solidFill>
          </w14:textFill>
        </w:rPr>
        <w:t xml:space="preserve">招标公告</w:t>
      </w:r>
      <w:bookmarkEnd w:id="7"/>
      <w:r/>
      <w:r/>
    </w:p>
    <w:p>
      <w:pPr>
        <w:ind w:firstLine="422"/>
        <w:spacing w:line="500" w:lineRule="exact"/>
        <w:rPr>
          <w:rFonts w:ascii="宋体" w:hAnsi="宋体" w:cs="宋体"/>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bookmarkStart w:id="8" w:name="_Toc35393621"/>
      <w:r/>
      <w:bookmarkStart w:id="9" w:name="_Toc28359002"/>
      <w:r/>
      <w:bookmarkStart w:id="10" w:name="_Toc35393790"/>
      <w:r/>
      <w:bookmarkStart w:id="11" w:name="_Toc28359079"/>
      <w:r/>
      <w:bookmarkStart w:id="12" w:name="_Hlk24379207"/>
      <w:r>
        <w:rPr>
          <w:rFonts w:hint="eastAsia" w:ascii="宋体" w:hAnsi="宋体" w:cs="宋体"/>
          <w:b/>
          <w:bCs/>
          <w:color w:val="000000" w:themeColor="text1"/>
          <w:highlight w:val="none"/>
          <w14:textFill>
            <w14:solidFill>
              <w14:schemeClr w14:val="tx1"/>
            </w14:solidFill>
          </w14:textFill>
        </w:rPr>
        <w:t xml:space="preserve">项目概况：</w:t>
      </w:r>
      <w:r>
        <w:rPr>
          <w:rFonts w:hint="eastAsia" w:ascii="宋体" w:hAnsi="宋体" w:cs="宋体"/>
          <w:color w:val="000000" w:themeColor="text1"/>
          <w:highlight w:val="none"/>
          <w:lang w:eastAsia="zh-CN"/>
          <w14:textFill>
            <w14:solidFill>
              <w14:schemeClr w14:val="tx1"/>
            </w14:solidFill>
          </w14:textFill>
        </w:rPr>
        <w:t xml:space="preserve">盐城市大丰人民医院血液科层流病房改造及设备采购项目</w:t>
      </w:r>
      <w:r>
        <w:rPr>
          <w:rFonts w:hint="eastAsia" w:ascii="宋体" w:hAnsi="宋体" w:cs="宋体"/>
          <w:color w:val="000000" w:themeColor="text1"/>
          <w:highlight w:val="none"/>
          <w14:textFill>
            <w14:solidFill>
              <w14:schemeClr w14:val="tx1"/>
            </w14:solidFill>
          </w14:textFill>
        </w:rPr>
        <w:t xml:space="preserve">（项目编号：JSZC-320904-JSDZ-G2025-0229）的潜在投标人应在“苏采云”系统内免费下载(投标人必须在苏采云系统中获取采购文件,方能参与政府采购项目)获取招标文件,并于2025年</w:t>
      </w: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31</w:t>
      </w:r>
      <w:r>
        <w:rPr>
          <w:rFonts w:hint="eastAsia" w:ascii="宋体" w:hAnsi="宋体" w:cs="宋体"/>
          <w:color w:val="000000" w:themeColor="text1"/>
          <w:highlight w:val="none"/>
          <w14:textFill>
            <w14:solidFill>
              <w14:schemeClr w14:val="tx1"/>
            </w14:solidFill>
          </w14:textFill>
        </w:rPr>
        <w:t xml:space="preserve">日10</w:t>
      </w:r>
      <w:r>
        <w:rPr>
          <w:rFonts w:hint="eastAsia" w:ascii="宋体" w:hAnsi="宋体" w:cs="宋体"/>
          <w:color w:val="000000" w:themeColor="text1"/>
          <w:highlight w:val="none"/>
          <w14:textFill>
            <w14:solidFill>
              <w14:schemeClr w14:val="tx1"/>
            </w14:solidFill>
          </w14:textFill>
        </w:rPr>
        <w:t xml:space="preserve">:00:00(北京时间)前递交投标文件。</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20"/>
        <w:spacing w:line="500" w:lineRule="exact"/>
        <w:rPr>
          <w:rFonts w:ascii="宋体" w:hAnsi="宋体" w:cs="宋体"/>
          <w:color w:val="000000" w:themeColor="text1"/>
          <w:highlight w:val="none"/>
          <w14:textFill>
            <w14:solidFill>
              <w14:schemeClr w14:val="tx1"/>
            </w14:solidFill>
          </w14:textFill>
        </w:rPr>
      </w:pPr>
      <w:r/>
      <w:bookmarkStart w:id="13" w:name="_Toc35393622"/>
      <w:r/>
      <w:bookmarkStart w:id="14" w:name="_Toc18588"/>
      <w:r/>
      <w:bookmarkStart w:id="15" w:name="_Toc35393791"/>
      <w:r/>
      <w:bookmarkStart w:id="16" w:name="_Toc28359080"/>
      <w:r/>
      <w:bookmarkStart w:id="17" w:name="_Toc28359003"/>
      <w:r/>
      <w:bookmarkStart w:id="18" w:name="_Toc28359082"/>
      <w:r/>
      <w:bookmarkStart w:id="19" w:name="_Toc35393624"/>
      <w:r/>
      <w:bookmarkStart w:id="20" w:name="_Toc28359005"/>
      <w:r/>
      <w:bookmarkStart w:id="21" w:name="_Toc35393793"/>
      <w:r>
        <w:rPr>
          <w:rFonts w:hint="eastAsia" w:ascii="宋体" w:hAnsi="宋体" w:cs="宋体"/>
          <w:color w:val="000000" w:themeColor="text1"/>
          <w:highlight w:val="none"/>
          <w14:textFill>
            <w14:solidFill>
              <w14:schemeClr w14:val="tx1"/>
            </w14:solidFill>
          </w14:textFill>
        </w:rPr>
        <w:t xml:space="preserve">项目编号：JSZC-320904-JSDZ-G2025-0229 </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盐城市大丰人民医院血液科层流病房改造及设备采购项目</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预算金额：</w:t>
      </w:r>
      <w:r>
        <w:rPr>
          <w:rFonts w:hint="eastAsia" w:ascii="宋体" w:hAnsi="宋体" w:cs="宋体"/>
          <w:color w:val="000000" w:themeColor="text1"/>
          <w:highlight w:val="none"/>
          <w:lang w:val="en-US" w:eastAsia="zh-CN"/>
          <w14:textFill>
            <w14:solidFill>
              <w14:schemeClr w14:val="tx1"/>
            </w14:solidFill>
          </w14:textFill>
        </w:rPr>
        <w:t xml:space="preserve">82万元</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最高限价：</w:t>
      </w:r>
      <w:r>
        <w:rPr>
          <w:rFonts w:hint="eastAsia" w:ascii="宋体" w:hAnsi="宋体" w:cs="宋体"/>
          <w:color w:val="000000" w:themeColor="text1"/>
          <w:highlight w:val="none"/>
          <w:lang w:val="en-US" w:eastAsia="zh-CN"/>
          <w14:textFill>
            <w14:solidFill>
              <w14:schemeClr w14:val="tx1"/>
            </w14:solidFill>
          </w14:textFill>
        </w:rPr>
        <w:t xml:space="preserve">82万元</w:t>
      </w:r>
      <w:r>
        <w:rPr>
          <w:rFonts w:hint="eastAsia" w:ascii="宋体" w:hAnsi="宋体" w:cs="宋体"/>
          <w:color w:val="000000" w:themeColor="text1"/>
          <w:highlight w:val="none"/>
          <w14:textFill>
            <w14:solidFill>
              <w14:schemeClr w14:val="tx1"/>
            </w14:solidFill>
          </w14:textFill>
        </w:rPr>
        <w:t xml:space="preserve">，投标报价高于最高限价的作无效标处理；</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采购需求：</w:t>
      </w:r>
      <w:r>
        <w:rPr>
          <w:rFonts w:hint="eastAsia" w:ascii="宋体" w:hAnsi="宋体" w:cs="宋体"/>
          <w:color w:val="000000" w:themeColor="text1"/>
          <w:highlight w:val="none"/>
          <w:lang w:eastAsia="zh-CN"/>
          <w14:textFill>
            <w14:solidFill>
              <w14:schemeClr w14:val="tx1"/>
            </w14:solidFill>
          </w14:textFill>
        </w:rPr>
        <w:t xml:space="preserve">盐城市大丰人民医院血液科层流病房改造及设备采购项目</w:t>
      </w:r>
      <w:r>
        <w:rPr>
          <w:rFonts w:ascii="宋体" w:hAnsi="宋体" w:cs="宋体"/>
          <w:color w:val="000000" w:themeColor="text1"/>
          <w:highlight w:val="none"/>
          <w14:textFill>
            <w14:solidFill>
              <w14:schemeClr w14:val="tx1"/>
            </w14:solidFill>
          </w14:textFill>
        </w:rPr>
        <w:t xml:space="preserve">,具体详见本项目</w:t>
      </w:r>
      <w:r>
        <w:rPr>
          <w:rFonts w:hint="eastAsia" w:ascii="宋体" w:hAnsi="宋体" w:cs="宋体"/>
          <w:color w:val="000000" w:themeColor="text1"/>
          <w:highlight w:val="none"/>
          <w14:textFill>
            <w14:solidFill>
              <w14:schemeClr w14:val="tx1"/>
            </w14:solidFill>
          </w14:textFill>
        </w:rPr>
        <w:t xml:space="preserve">招标文件采购需求；</w:t>
      </w:r>
      <w:r/>
    </w:p>
    <w:p>
      <w:pPr>
        <w:ind w:firstLine="420"/>
        <w:spacing w:line="5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合同履行期限：签订合同后 </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0 日历天内完成所需设备的采购、供应、运输、安装、调试等相关伴随服务，并通过采购人的验收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hint="eastAsia" w:ascii="宋体" w:hAnsi="宋体" w:eastAsia="宋体" w:cs="宋体"/>
          <w:color w:val="000000" w:themeColor="text1"/>
          <w:highlight w:val="none"/>
          <w:lang w:eastAsia="zh-CN"/>
          <w14:textFill>
            <w14:solidFill>
              <w14:schemeClr w14:val="tx1"/>
            </w14:solidFill>
          </w14:textFill>
        </w:rPr>
      </w:pPr>
      <w:r/>
      <w:bookmarkStart w:id="22" w:name="OLE_LINK15"/>
      <w:r>
        <w:rPr>
          <w:rFonts w:hint="eastAsia" w:ascii="宋体" w:hAnsi="宋体" w:cs="宋体"/>
          <w:color w:val="000000" w:themeColor="text1"/>
          <w:highlight w:val="none"/>
          <w14:textFill>
            <w14:solidFill>
              <w14:schemeClr w14:val="tx1"/>
            </w14:solidFill>
          </w14:textFill>
        </w:rPr>
        <w:t xml:space="preserve">质保期：不少于三年</w:t>
      </w:r>
      <w:bookmarkEnd w:id="22"/>
      <w:r>
        <w:rPr>
          <w:rFonts w:hint="eastAsia" w:ascii="宋体" w:hAnsi="宋体" w:cs="宋体"/>
          <w:color w:val="000000" w:themeColor="text1"/>
          <w:highlight w:val="none"/>
          <w14:textFill>
            <w14:solidFill>
              <w14:schemeClr w14:val="tx1"/>
            </w14:solidFill>
          </w14:textFill>
        </w:rPr>
        <w:t xml:space="preserve">（含设备免费维护保养）</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本项目不接受联合体投标。</w:t>
      </w:r>
      <w:r/>
    </w:p>
    <w:p>
      <w:pPr>
        <w:pStyle w:val="767"/>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20"/>
        <w:spacing w:line="500" w:lineRule="exact"/>
        <w:rPr>
          <w:rFonts w:ascii="宋体" w:hAnsi="宋体" w:cs="宋体"/>
          <w:color w:val="000000" w:themeColor="text1"/>
          <w:highlight w:val="none"/>
          <w14:textFill>
            <w14:solidFill>
              <w14:schemeClr w14:val="tx1"/>
            </w14:solidFill>
          </w14:textFill>
        </w:rPr>
      </w:pPr>
      <w:r/>
      <w:bookmarkStart w:id="23" w:name="_Toc28359004"/>
      <w:r/>
      <w:bookmarkStart w:id="24" w:name="_Toc28359081"/>
      <w:r/>
      <w:bookmarkStart w:id="25" w:name="_Toc35393623"/>
      <w:r/>
      <w:bookmarkStart w:id="26" w:name="_Toc35393792"/>
      <w:r/>
      <w:bookmarkStart w:id="27" w:name="_Toc16165"/>
      <w:r>
        <w:rPr>
          <w:rFonts w:hint="eastAsia" w:ascii="宋体" w:hAnsi="宋体" w:cs="宋体"/>
          <w:color w:val="000000" w:themeColor="text1"/>
          <w:highlight w:val="none"/>
          <w14:textFill>
            <w14:solidFill>
              <w14:schemeClr w14:val="tx1"/>
            </w14:solidFill>
          </w14:textFill>
        </w:rPr>
        <w:t xml:space="preserve">（一）满足《中华人民共和国政府采购法》第二十二条规定：</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1.法人或者其他组织的营业执照等证明文件，自然人的身份证明。</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2.上一年度的财务状况报告（至少提供资产负债表、利润表、现金流量表，投标人成立不满一年无需提供）。</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4.具备履行合同所必需的设备和专业技术能力的书面声明。</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5.参加政府采购活动前3年内在经营活动中没有重大违法记录的书面声明。</w:t>
      </w:r>
      <w:r/>
    </w:p>
    <w:p>
      <w:pPr>
        <w:ind w:firstLine="420"/>
        <w:spacing w:line="500"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（二）落实政府采购政策需满足的资格要求：无 。</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本项目的特定资格要求：</w:t>
      </w:r>
      <w:bookmarkEnd w:id="23"/>
      <w:r/>
      <w:bookmarkEnd w:id="24"/>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（3）根据国家相关政策规定，属于医疗器械监督管理的设备，需具备以下特定资格：</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1)投标人须提供有效的医疗器械产品注册证或产品备案凭证，投标时需提供扫描件加盖公章；</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2)若投标供应商为代理商，须根据投标产品的类别，提供投标人有效的《医疗器械经营许可证》或医疗器械经营备案凭证，投标时需提供扫描件加盖公章；</w:t>
      </w:r>
      <w:r/>
    </w:p>
    <w:p>
      <w:pPr>
        <w:ind w:firstLine="420"/>
        <w:spacing w:line="5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3)若投标供应商为生产商，须具有有效的《医疗器械生产许可证》或生产备案凭证（医疗器械生产许可证如有医疗器械生产产品登记表的须一并提供），投标时需提供扫描件加盖公章</w:t>
      </w:r>
      <w:r>
        <w:rPr>
          <w:rFonts w:hint="eastAsia" w:ascii="宋体" w:hAnsi="宋体" w:cs="宋体"/>
          <w:color w:val="000000" w:themeColor="text1"/>
          <w:highlight w:val="none"/>
          <w:lang w:eastAsia="zh-CN"/>
          <w14:textFill>
            <w14:solidFill>
              <w14:schemeClr w14:val="tx1"/>
            </w14:solidFill>
          </w14:textFill>
        </w:rPr>
        <w:t xml:space="preserve">。</w:t>
      </w:r>
      <w:r/>
    </w:p>
    <w:p>
      <w:pPr>
        <w:pStyle w:val="767"/>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bookmarkEnd w:id="25"/>
      <w:r/>
      <w:bookmarkEnd w:id="26"/>
      <w:r/>
      <w:bookmarkEnd w:id="27"/>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时间：自招标文件公告发布之日起5个工作日。 </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地点：“苏采云”系统内免费下载（投标人必须在苏采云系统中获取采购文件，方能参与政府采购项目）</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方式：网上注册登记成功后“苏采云”系统内免费下载。</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潜在投标人访问“苏采云”系统方法：江苏省政府采购网首页-“苏采云”链接。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采购文件（后缀名为“.kedt”）、供应商操作手册及政府采购客户端工具可通过“苏采云”系统相应链接进行下载。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招标代理机构（采购代理机构）将数据电文形式的采购文件加载至“苏采云”系统，供潜在供应商下载或者查阅。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请潜在投标单位提前安装相应的控件（详见《“苏采云”系统供应商操作手册》）并使用谷歌浏览器登录“苏采云”系统参与不见面开评标。如潜在投标人未按上述要求操作，将自行承担所产生的风险。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售价：0元</w:t>
      </w:r>
      <w:r/>
    </w:p>
    <w:p>
      <w:pPr>
        <w:pStyle w:val="768"/>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28" w:name="_Toc22271"/>
      <w:r>
        <w:rPr>
          <w:rStyle w:val="820"/>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四、提交投标文件截止时间、开标时间和地点</w:t>
      </w:r>
      <w:bookmarkEnd w:id="28"/>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2025年</w:t>
      </w: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月31</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时00分（北京时间）</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地点：“苏采云”系统（网址：http://jszfcg.jsczt.cn/）“开标大厅”。 </w:t>
      </w:r>
      <w:r/>
    </w:p>
    <w:p>
      <w:pPr>
        <w:pStyle w:val="768"/>
        <w:ind w:firstLine="482"/>
        <w:jc w:val="left"/>
        <w:keepLines w:val="0"/>
        <w:keepNext w:val="0"/>
        <w:spacing w:before="0" w:after="0" w:line="440" w:lineRule="exact"/>
        <w:shd w:val="clear" w:color="auto" w:fill="ffffff"/>
        <w:widowControl/>
        <w:rPr>
          <w:rFonts w:ascii="宋体" w:hAnsi="宋体" w:eastAsia="宋体" w:cs="宋体"/>
          <w:color w:val="000000" w:themeColor="text1"/>
          <w:sz w:val="24"/>
          <w:szCs w:val="24"/>
          <w:highlight w:val="none"/>
          <w14:textFill>
            <w14:solidFill>
              <w14:schemeClr w14:val="tx1"/>
            </w14:solidFill>
          </w14:textFill>
        </w:rPr>
      </w:pPr>
      <w:r/>
      <w:bookmarkStart w:id="29" w:name="_Toc17920"/>
      <w:r>
        <w:rPr>
          <w:rStyle w:val="820"/>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五、公告期限</w:t>
      </w:r>
      <w:bookmarkEnd w:id="29"/>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自本公告发布之日起5个工作日。</w:t>
      </w:r>
      <w:r/>
    </w:p>
    <w:p>
      <w:pPr>
        <w:pStyle w:val="786"/>
        <w:ind w:firstLine="482"/>
        <w:spacing w:line="400" w:lineRule="exact"/>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六、评标办法</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本项目评标办法为</w:t>
      </w:r>
      <w:r>
        <w:rPr>
          <w:rFonts w:hint="eastAsia"/>
          <w:color w:val="000000" w:themeColor="text1"/>
          <w:sz w:val="21"/>
          <w:szCs w:val="21"/>
          <w:highlight w:val="none"/>
          <w14:textFill>
            <w14:solidFill>
              <w14:schemeClr w14:val="tx1"/>
            </w14:solidFill>
          </w14:textFill>
        </w:rPr>
        <w:t xml:space="preserve">综合评分法</w:t>
      </w:r>
      <w:r>
        <w:rPr>
          <w:color w:val="000000" w:themeColor="text1"/>
          <w:sz w:val="21"/>
          <w:szCs w:val="21"/>
          <w:highlight w:val="none"/>
          <w14:textFill>
            <w14:solidFill>
              <w14:schemeClr w14:val="tx1"/>
            </w14:solidFill>
          </w14:textFill>
        </w:rPr>
        <w:t xml:space="preserve">，详见本项目招标文件第</w:t>
      </w:r>
      <w:r>
        <w:rPr>
          <w:rFonts w:hint="eastAsia"/>
          <w:color w:val="000000" w:themeColor="text1"/>
          <w:sz w:val="21"/>
          <w:szCs w:val="21"/>
          <w:highlight w:val="none"/>
          <w:lang w:val="en-US" w:eastAsia="zh-CN"/>
          <w14:textFill>
            <w14:solidFill>
              <w14:schemeClr w14:val="tx1"/>
            </w14:solidFill>
          </w14:textFill>
        </w:rPr>
        <w:t xml:space="preserve">四</w:t>
      </w:r>
      <w:r>
        <w:rPr>
          <w:color w:val="000000" w:themeColor="text1"/>
          <w:sz w:val="21"/>
          <w:szCs w:val="21"/>
          <w:highlight w:val="none"/>
          <w14:textFill>
            <w14:solidFill>
              <w14:schemeClr w14:val="tx1"/>
            </w14:solidFill>
          </w14:textFill>
        </w:rPr>
        <w:t xml:space="preserve">章。</w:t>
      </w:r>
      <w:r/>
    </w:p>
    <w:p>
      <w:pPr>
        <w:pStyle w:val="768"/>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30" w:name="_Toc6784"/>
      <w:r>
        <w:rPr>
          <w:rStyle w:val="820"/>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七、其他补充事宜</w:t>
      </w:r>
      <w:bookmarkEnd w:id="30"/>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1、电子投标文件一份(通过系统提交)；纸质投标文件正本一份，副本</w:t>
      </w:r>
      <w:r>
        <w:rPr>
          <w:rFonts w:hint="eastAsia"/>
          <w:color w:val="000000" w:themeColor="text1"/>
          <w:sz w:val="21"/>
          <w:szCs w:val="21"/>
          <w:highlight w:val="none"/>
          <w:lang w:val="en-US" w:eastAsia="zh-CN"/>
          <w14:textFill>
            <w14:solidFill>
              <w14:schemeClr w14:val="tx1"/>
            </w14:solidFill>
          </w14:textFill>
        </w:rPr>
        <w:t xml:space="preserve">三</w:t>
      </w:r>
      <w:r>
        <w:rPr>
          <w:rFonts w:hint="eastAsia"/>
          <w:color w:val="000000" w:themeColor="text1"/>
          <w:sz w:val="21"/>
          <w:szCs w:val="21"/>
          <w:highlight w:val="none"/>
          <w14:textFill>
            <w14:solidFill>
              <w14:schemeClr w14:val="tx1"/>
            </w14:solidFill>
          </w14:textFill>
        </w:rPr>
        <w:t xml:space="preserve">份（评审结束后由中标候选人邮寄至采购人，未中标单位不需要提供）。</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3、有关本次招标的事项若存在变动或修改，敬请及时关注采购人在“中国政府采购网”“江苏政府采购网”、“盐城市政府采购网”发布的更正公告。</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4、本项目不收取投标保证金，不收取质量保证金。</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八、对本次招标提出询问，请按以下方式联系。</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1.采购人信息</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称：盐城市大丰人民医院</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址：盐城市大丰区幸福东大街139号</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人：钱海涛</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联系电话：0515-83530067</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2.采购代理机构信息</w:t>
      </w:r>
      <w:r/>
    </w:p>
    <w:p>
      <w:pPr>
        <w:pStyle w:val="813"/>
        <w:ind w:firstLine="480"/>
        <w:spacing w:before="0" w:beforeAutospacing="0" w:after="0" w:afterAutospacing="0" w:line="440" w:lineRule="exact"/>
        <w:shd w:val="clear" w:color="auto" w:fill="ffffff"/>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w:t>
      </w:r>
      <w:r>
        <w:rPr>
          <w:rFonts w:hint="eastAsia"/>
          <w:color w:val="000000" w:themeColor="text1"/>
          <w:sz w:val="21"/>
          <w:szCs w:val="21"/>
          <w:highlight w:val="none"/>
          <w:lang w:eastAsia="zh-CN"/>
          <w14:textFill>
            <w14:solidFill>
              <w14:schemeClr w14:val="tx1"/>
            </w14:solidFill>
          </w14:textFill>
        </w:rPr>
        <w:t xml:space="preserve">大洲设计咨询集团有限公司</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址：大丰区五一北路6号（锦和科技大厦8楼）</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w:t>
      </w:r>
      <w:r>
        <w:rPr>
          <w:rFonts w:hint="eastAsia"/>
          <w:color w:val="000000" w:themeColor="text1"/>
          <w:sz w:val="21"/>
          <w:szCs w:val="21"/>
          <w:highlight w:val="none"/>
          <w:lang w:eastAsia="zh-CN"/>
          <w14:textFill>
            <w14:solidFill>
              <w14:schemeClr w14:val="tx1"/>
            </w14:solidFill>
          </w14:textFill>
        </w:rPr>
        <w:t xml:space="preserve">安琪</w:t>
      </w:r>
      <w:r>
        <w:rPr>
          <w:rFonts w:hint="eastAsia"/>
          <w:color w:val="000000" w:themeColor="text1"/>
          <w:sz w:val="21"/>
          <w:szCs w:val="21"/>
          <w:highlight w:val="none"/>
          <w14:textFill>
            <w14:solidFill>
              <w14:schemeClr w14:val="tx1"/>
            </w14:solidFill>
          </w14:textFill>
        </w:rPr>
        <w:t xml:space="preserve">                       </w:t>
      </w:r>
      <w:r/>
    </w:p>
    <w:p>
      <w:pPr>
        <w:pStyle w:val="813"/>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val="en-US" w:eastAsia="zh-CN"/>
          <w14:textFill>
            <w14:solidFill>
              <w14:schemeClr w14:val="tx1"/>
            </w14:solidFill>
          </w14:textFill>
        </w:rPr>
        <w:t xml:space="preserve">15862071581</w:t>
      </w:r>
      <w:r>
        <w:rPr>
          <w:rFonts w:hint="eastAsia"/>
          <w:color w:val="000000" w:themeColor="text1"/>
          <w:sz w:val="21"/>
          <w:szCs w:val="21"/>
          <w:highlight w:val="none"/>
          <w14:textFill>
            <w14:solidFill>
              <w14:schemeClr w14:val="tx1"/>
            </w14:solidFill>
          </w14:textFill>
        </w:rPr>
        <w:tab/>
      </w:r>
      <w:r>
        <w:rPr>
          <w:rFonts w:hint="eastAsia"/>
          <w:color w:val="000000" w:themeColor="text1"/>
          <w:sz w:val="21"/>
          <w:szCs w:val="21"/>
          <w:highlight w:val="none"/>
          <w14:textFill>
            <w14:solidFill>
              <w14:schemeClr w14:val="tx1"/>
            </w14:solidFill>
          </w14:textFill>
        </w:rPr>
        <w:t xml:space="preserve"> 　 </w:t>
      </w:r>
      <w:bookmarkEnd w:id="1"/>
      <w:r/>
      <w:bookmarkEnd w:id="2"/>
      <w:r/>
      <w:bookmarkEnd w:id="3"/>
      <w:r/>
      <w:bookmarkEnd w:id="4"/>
      <w:r/>
      <w:bookmarkEnd w:id="5"/>
      <w:r/>
      <w:bookmarkEnd w:id="18"/>
      <w:r/>
      <w:bookmarkEnd w:id="19"/>
      <w:r/>
      <w:bookmarkEnd w:id="20"/>
      <w:r/>
      <w:bookmarkEnd w:id="21"/>
      <w:r/>
      <w:r/>
    </w:p>
    <w:p>
      <w:pPr>
        <w:pStyle w:val="1008"/>
        <w:rPr>
          <w:rFonts w:ascii="仿宋" w:hAnsi="仿宋" w:eastAsia="仿宋"/>
          <w:color w:val="000000" w:themeColor="text1"/>
          <w:sz w:val="28"/>
          <w:szCs w:val="28"/>
          <w:highlight w:val="none"/>
          <w:lang w:eastAsia="zh-CN"/>
          <w14:textFill>
            <w14:solidFill>
              <w14:schemeClr w14:val="tx1"/>
            </w14:solidFill>
          </w14:textFill>
        </w:rPr>
      </w:pPr>
      <w:r>
        <w:rPr>
          <w:rFonts w:ascii="仿宋" w:hAnsi="仿宋" w:eastAsia="仿宋"/>
          <w:color w:val="000000" w:themeColor="text1"/>
          <w:sz w:val="28"/>
          <w:szCs w:val="28"/>
          <w:highlight w:val="none"/>
          <w:lang w:eastAsia="zh-CN"/>
          <w14:textFill>
            <w14:solidFill>
              <w14:schemeClr w14:val="tx1"/>
            </w14:solidFill>
          </w14:textFill>
        </w:rPr>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31" w:name="_Toc10475"/>
      <w:r/>
      <w:bookmarkStart w:id="32" w:name="_Toc120614221"/>
      <w:r/>
      <w:bookmarkStart w:id="33" w:name="_Toc479757207"/>
      <w:r/>
      <w:bookmarkStart w:id="34" w:name="_Toc16938558"/>
      <w:r/>
      <w:bookmarkStart w:id="35" w:name="_Toc513029242"/>
      <w:r/>
      <w:bookmarkStart w:id="36" w:name="_Toc20823314"/>
      <w:r>
        <w:rPr>
          <w:rFonts w:hint="eastAsia"/>
          <w:b/>
          <w:color w:val="000000" w:themeColor="text1"/>
          <w:sz w:val="44"/>
          <w:szCs w:val="44"/>
          <w:highlight w:val="none"/>
          <w14:textFill>
            <w14:solidFill>
              <w14:schemeClr w14:val="tx1"/>
            </w14:solidFill>
          </w14:textFill>
        </w:rPr>
        <w:t xml:space="preserve">第二章  </w:t>
      </w:r>
      <w:bookmarkStart w:id="37" w:name="_Toc20823274"/>
      <w:r/>
      <w:bookmarkStart w:id="38" w:name="_Toc513029202"/>
      <w:r/>
      <w:bookmarkStart w:id="39" w:name="_Toc120614213"/>
      <w:r/>
      <w:bookmarkStart w:id="40" w:name="_Toc16938518"/>
      <w:r>
        <w:rPr>
          <w:rFonts w:hint="eastAsia"/>
          <w:b/>
          <w:color w:val="000000" w:themeColor="text1"/>
          <w:sz w:val="44"/>
          <w:szCs w:val="44"/>
          <w:highlight w:val="none"/>
          <w14:textFill>
            <w14:solidFill>
              <w14:schemeClr w14:val="tx1"/>
            </w14:solidFill>
          </w14:textFill>
        </w:rPr>
        <w:t xml:space="preserve">投标人须知</w:t>
      </w:r>
      <w:bookmarkEnd w:id="31"/>
      <w:r/>
      <w:bookmarkEnd w:id="37"/>
      <w:r/>
      <w:bookmarkEnd w:id="38"/>
      <w:r/>
      <w:bookmarkEnd w:id="39"/>
      <w:r/>
      <w:bookmarkEnd w:id="40"/>
      <w:r/>
      <w:r/>
    </w:p>
    <w:p>
      <w:pPr>
        <w:pStyle w:val="1060"/>
        <w:ind w:firstLine="498"/>
        <w:spacing w:before="145" w:after="145" w:line="360" w:lineRule="auto"/>
        <w:rPr>
          <w:color w:val="000000" w:themeColor="text1"/>
          <w:sz w:val="24"/>
          <w:szCs w:val="24"/>
          <w:highlight w:val="none"/>
          <w14:textFill>
            <w14:solidFill>
              <w14:schemeClr w14:val="tx1"/>
            </w14:solidFill>
          </w14:textFill>
        </w:rPr>
      </w:pPr>
      <w:r/>
      <w:bookmarkStart w:id="41" w:name="_Toc16938519"/>
      <w:r/>
      <w:bookmarkStart w:id="42" w:name="_Toc120614214"/>
      <w:r/>
      <w:bookmarkStart w:id="43" w:name="_Toc20823275"/>
      <w:r/>
      <w:bookmarkStart w:id="44" w:name="_Toc513029203"/>
      <w:r>
        <w:rPr>
          <w:rFonts w:hint="eastAsia"/>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45" w:name="_Hlt16619475"/>
      <w:r/>
      <w:bookmarkEnd w:id="45"/>
      <w:r/>
      <w:bookmarkStart w:id="46" w:name="_Toc458694821"/>
      <w:r/>
      <w:bookmarkStart w:id="47" w:name="_Toc513029204"/>
      <w:r/>
      <w:bookmarkStart w:id="48" w:name="_Toc20823276"/>
      <w:r/>
      <w:bookmarkStart w:id="49" w:name="_Toc16938520"/>
      <w:r>
        <w:rPr>
          <w:rFonts w:hint="eastAsia"/>
          <w:b w:val="0"/>
          <w:bCs w:val="0"/>
          <w:color w:val="000000" w:themeColor="text1"/>
          <w:sz w:val="24"/>
          <w:szCs w:val="24"/>
          <w:highlight w:val="none"/>
          <w14:textFill>
            <w14:solidFill>
              <w14:schemeClr w14:val="tx1"/>
            </w14:solidFill>
          </w14:textFill>
        </w:rPr>
        <w:t xml:space="preserve">1</w:t>
      </w:r>
      <w:bookmarkEnd w:id="46"/>
      <w:r>
        <w:rPr>
          <w:rFonts w:hint="eastAsia"/>
          <w:b w:val="0"/>
          <w:bCs w:val="0"/>
          <w:color w:val="000000" w:themeColor="text1"/>
          <w:sz w:val="24"/>
          <w:szCs w:val="24"/>
          <w:highlight w:val="none"/>
          <w14:textFill>
            <w14:solidFill>
              <w14:schemeClr w14:val="tx1"/>
            </w14:solidFill>
          </w14:textFill>
        </w:rPr>
        <w:t xml:space="preserve">、招标方式</w:t>
      </w:r>
      <w:bookmarkEnd w:id="47"/>
      <w:r/>
      <w:bookmarkEnd w:id="48"/>
      <w:r/>
      <w:bookmarkEnd w:id="4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50" w:name="_Toc20823277"/>
      <w:r/>
      <w:bookmarkStart w:id="51" w:name="_Toc16938521"/>
      <w:r/>
      <w:bookmarkStart w:id="52" w:name="_Toc513029205"/>
      <w:r>
        <w:rPr>
          <w:rFonts w:hint="eastAsia"/>
          <w:b w:val="0"/>
          <w:bCs w:val="0"/>
          <w:color w:val="000000" w:themeColor="text1"/>
          <w:sz w:val="24"/>
          <w:szCs w:val="24"/>
          <w:highlight w:val="none"/>
          <w14:textFill>
            <w14:solidFill>
              <w14:schemeClr w14:val="tx1"/>
            </w14:solidFill>
          </w14:textFill>
        </w:rPr>
        <w:t xml:space="preserve">2、合格的投标人</w:t>
      </w:r>
      <w:bookmarkEnd w:id="50"/>
      <w:r/>
      <w:bookmarkEnd w:id="51"/>
      <w:r/>
      <w:bookmarkEnd w:id="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2.1满足招标公告中“申请人的资格要求”。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53" w:name="_Toc20823278"/>
      <w:r/>
      <w:bookmarkStart w:id="54" w:name="_Toc16938522"/>
      <w:r/>
      <w:bookmarkStart w:id="55" w:name="_Toc513029206"/>
      <w:r>
        <w:rPr>
          <w:rFonts w:hint="eastAsia"/>
          <w:b w:val="0"/>
          <w:bCs w:val="0"/>
          <w:color w:val="000000" w:themeColor="text1"/>
          <w:sz w:val="24"/>
          <w:szCs w:val="24"/>
          <w:highlight w:val="none"/>
          <w14:textFill>
            <w14:solidFill>
              <w14:schemeClr w14:val="tx1"/>
            </w14:solidFill>
          </w14:textFill>
        </w:rPr>
        <w:t xml:space="preserve">3、适用法律</w:t>
      </w:r>
      <w:bookmarkEnd w:id="53"/>
      <w:r/>
      <w:bookmarkEnd w:id="54"/>
      <w:r/>
      <w:bookmarkEnd w:id="55"/>
      <w:r/>
      <w:r/>
    </w:p>
    <w:p>
      <w:pPr>
        <w:ind w:firstLine="4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本次招标及由此产生的合同受《中华人民共和国政府采购法》《中华人民共和国民法典》等相关法律法规制约和保护</w:t>
      </w:r>
      <w:r>
        <w:rPr>
          <w:rFonts w:ascii="宋体" w:hAnsi="宋体"/>
          <w:color w:val="000000" w:themeColor="text1"/>
          <w:sz w:val="24"/>
          <w:szCs w:val="24"/>
          <w:highlight w:val="none"/>
          <w14:textFill>
            <w14:solidFill>
              <w14:schemeClr w14:val="tx1"/>
            </w14:solidFill>
          </w14:textFill>
        </w:rPr>
        <w:t xml:space="preserve">。</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56" w:name="_Toc513029207"/>
      <w:r/>
      <w:bookmarkStart w:id="57" w:name="_Toc16938523"/>
      <w:r/>
      <w:bookmarkStart w:id="58" w:name="_Toc20823279"/>
      <w:r/>
      <w:bookmarkStart w:id="59" w:name="_Toc462564067"/>
      <w:r>
        <w:rPr>
          <w:rFonts w:hint="eastAsia"/>
          <w:b w:val="0"/>
          <w:bCs w:val="0"/>
          <w:color w:val="000000" w:themeColor="text1"/>
          <w:sz w:val="24"/>
          <w:szCs w:val="24"/>
          <w:highlight w:val="none"/>
          <w14:textFill>
            <w14:solidFill>
              <w14:schemeClr w14:val="tx1"/>
            </w14:solidFill>
          </w14:textFill>
        </w:rPr>
        <w:t xml:space="preserve">4、投标费用</w:t>
      </w:r>
      <w:bookmarkEnd w:id="56"/>
      <w:r/>
      <w:bookmarkEnd w:id="57"/>
      <w:r/>
      <w:bookmarkEnd w:id="58"/>
      <w:r/>
      <w:bookmarkEnd w:id="59"/>
      <w:r/>
      <w:r/>
    </w:p>
    <w:p>
      <w:pPr>
        <w:pStyle w:val="793"/>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w:t>
      </w:r>
      <w:r>
        <w:rPr>
          <w:rFonts w:hint="eastAsia" w:ascii="宋体" w:hAnsi="宋体"/>
          <w:color w:val="000000" w:themeColor="text1"/>
          <w:sz w:val="24"/>
          <w:szCs w:val="24"/>
          <w:highlight w:val="none"/>
          <w14:textFill>
            <w14:solidFill>
              <w14:schemeClr w14:val="tx1"/>
            </w14:solidFill>
          </w14:textFill>
        </w:rPr>
        <w:t xml:space="preserve"> 投标人应自行承担所有与参加投标有关的费用，投标人应充分考虑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93"/>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无论投标过程中的做法和结果如何，采购人在任何情况下均无义务和责任承担这些费用。</w:t>
      </w:r>
      <w:r/>
    </w:p>
    <w:p>
      <w:pPr>
        <w:ind w:firstLine="460"/>
        <w:spacing w:line="48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本项目招标</w:t>
      </w:r>
      <w:bookmarkStart w:id="60" w:name="OLE_LINK4"/>
      <w:r/>
      <w:bookmarkStart w:id="61" w:name="OLE_LINK5"/>
      <w:r>
        <w:rPr>
          <w:rFonts w:hint="eastAsia" w:ascii="宋体" w:hAnsi="宋体" w:cs="宋体"/>
          <w:b/>
          <w:color w:val="000000" w:themeColor="text1"/>
          <w:sz w:val="24"/>
          <w:szCs w:val="24"/>
          <w:highlight w:val="none"/>
          <w14:textFill>
            <w14:solidFill>
              <w14:schemeClr w14:val="tx1"/>
            </w14:solidFill>
          </w14:textFill>
        </w:rPr>
        <w:t xml:space="preserve">代理费</w:t>
      </w:r>
      <w:bookmarkEnd w:id="60"/>
      <w:r/>
      <w:bookmarkEnd w:id="61"/>
      <w:r>
        <w:rPr>
          <w:rFonts w:hint="eastAsia" w:ascii="宋体" w:hAnsi="宋体" w:cs="宋体"/>
          <w:b/>
          <w:color w:val="000000" w:themeColor="text1"/>
          <w:sz w:val="24"/>
          <w:szCs w:val="24"/>
          <w:highlight w:val="none"/>
          <w14:textFill>
            <w14:solidFill>
              <w14:schemeClr w14:val="tx1"/>
            </w14:solidFill>
          </w14:textFill>
        </w:rPr>
        <w:t xml:space="preserve">按苏招协【2022】002号文件标准*40%向中标单位收取，此项费用含在投标报价中，不单独列项，由投标单位在报价时综合</w:t>
      </w:r>
      <w:r>
        <w:rPr>
          <w:rFonts w:hint="eastAsia" w:ascii="宋体"/>
          <w:b/>
          <w:color w:val="000000" w:themeColor="text1"/>
          <w:sz w:val="24"/>
          <w:highlight w:val="none"/>
          <w14:textFill>
            <w14:solidFill>
              <w14:schemeClr w14:val="tx1"/>
            </w14:solidFill>
          </w14:textFill>
        </w:rPr>
        <w:t xml:space="preserve">考虑。</w:t>
      </w:r>
      <w:r/>
    </w:p>
    <w:p>
      <w:pPr>
        <w:pStyle w:val="1057"/>
        <w:ind w:firstLine="602"/>
        <w:spacing w:before="0" w:after="0" w:line="360" w:lineRule="auto"/>
        <w:rPr>
          <w:rFonts w:ascii="黑体" w:hAnsi="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黑体" w:hAnsi="宋体"/>
          <w:b w:val="0"/>
          <w:bCs w:val="0"/>
          <w:color w:val="000000" w:themeColor="text1"/>
          <w:sz w:val="24"/>
          <w:szCs w:val="24"/>
          <w:highlight w:val="none"/>
          <w14:textFill>
            <w14:solidFill>
              <w14:schemeClr w14:val="tx1"/>
            </w14:solidFill>
          </w14:textFill>
        </w:rPr>
        <w:t xml:space="preserve">招标文件的约束力</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60"/>
        <w:ind w:firstLine="321"/>
        <w:spacing w:before="145" w:after="145" w:line="360" w:lineRule="auto"/>
        <w:rPr>
          <w:color w:val="000000" w:themeColor="text1"/>
          <w:sz w:val="24"/>
          <w:szCs w:val="24"/>
          <w:highlight w:val="none"/>
          <w14:textFill>
            <w14:solidFill>
              <w14:schemeClr w14:val="tx1"/>
            </w14:solidFill>
          </w14:textFill>
        </w:rPr>
      </w:pPr>
      <w:r/>
      <w:bookmarkStart w:id="62" w:name="_Toc513029209"/>
      <w:r/>
      <w:bookmarkStart w:id="63" w:name="_Toc16938525"/>
      <w:r/>
      <w:bookmarkStart w:id="64" w:name="_Toc120614215"/>
      <w:r/>
      <w:bookmarkStart w:id="65" w:name="_Toc20823281"/>
      <w:r>
        <w:rPr>
          <w:rFonts w:hint="eastAsia"/>
          <w:color w:val="000000" w:themeColor="text1"/>
          <w:sz w:val="24"/>
          <w:szCs w:val="24"/>
          <w:highlight w:val="none"/>
          <w14:textFill>
            <w14:solidFill>
              <w14:schemeClr w14:val="tx1"/>
            </w14:solidFill>
          </w14:textFill>
        </w:rPr>
        <w:t xml:space="preserve">二、招标文件</w:t>
      </w:r>
      <w:bookmarkEnd w:id="62"/>
      <w:r/>
      <w:bookmarkEnd w:id="63"/>
      <w:r/>
      <w:bookmarkEnd w:id="64"/>
      <w:r/>
      <w:bookmarkEnd w:id="65"/>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66" w:name="_Toc20823282"/>
      <w:r/>
      <w:bookmarkStart w:id="67" w:name="_Toc513029210"/>
      <w:r/>
      <w:bookmarkStart w:id="68" w:name="_Toc16938526"/>
      <w:r>
        <w:rPr>
          <w:rFonts w:hint="eastAsia"/>
          <w:b w:val="0"/>
          <w:bCs w:val="0"/>
          <w:color w:val="000000" w:themeColor="text1"/>
          <w:sz w:val="24"/>
          <w:szCs w:val="24"/>
          <w:highlight w:val="none"/>
          <w14:textFill>
            <w14:solidFill>
              <w14:schemeClr w14:val="tx1"/>
            </w14:solidFill>
          </w14:textFill>
        </w:rPr>
        <w:t xml:space="preserve">6、招标文件构成</w:t>
      </w:r>
      <w:bookmarkEnd w:id="66"/>
      <w:r/>
      <w:bookmarkEnd w:id="67"/>
      <w:r/>
      <w:bookmarkEnd w:id="6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6.1</w:t>
      </w:r>
      <w:r>
        <w:rPr>
          <w:rFonts w:hint="eastAsia" w:ascii="宋体" w:hAnsi="宋体"/>
          <w:color w:val="000000" w:themeColor="text1"/>
          <w:sz w:val="24"/>
          <w:szCs w:val="24"/>
          <w:highlight w:val="none"/>
          <w14:textFill>
            <w14:solidFill>
              <w14:schemeClr w14:val="tx1"/>
            </w14:solidFill>
          </w14:textFill>
        </w:rPr>
        <w:t xml:space="preserve"> 招标文件由以下部分组成：</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（1）招标公告</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需求</w:t>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请仔细检查招标文件是否齐全，如有缺漏请立即与采购人联系解决。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6.2</w:t>
      </w:r>
      <w:r>
        <w:rPr>
          <w:rFonts w:hint="eastAsia" w:ascii="宋体" w:hAnsi="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7"/>
        <w:ind w:firstLine="560"/>
        <w:spacing w:before="0" w:after="0" w:line="360" w:lineRule="auto"/>
        <w:rPr>
          <w:b w:val="0"/>
          <w:bCs w:val="0"/>
          <w:color w:val="000000" w:themeColor="text1"/>
          <w:sz w:val="24"/>
          <w:szCs w:val="24"/>
          <w:highlight w:val="none"/>
          <w14:textFill>
            <w14:solidFill>
              <w14:schemeClr w14:val="tx1"/>
            </w14:solidFill>
          </w14:textFill>
        </w:rPr>
      </w:pPr>
      <w:r/>
      <w:bookmarkStart w:id="69" w:name="_Toc16938527"/>
      <w:r/>
      <w:bookmarkStart w:id="70" w:name="_Toc462564070"/>
      <w:r/>
      <w:bookmarkStart w:id="71" w:name="_Toc513029211"/>
      <w:r/>
      <w:bookmarkStart w:id="72" w:name="_Toc20823283"/>
      <w:r>
        <w:rPr>
          <w:rFonts w:hint="eastAsia"/>
          <w:b w:val="0"/>
          <w:bCs w:val="0"/>
          <w:color w:val="000000" w:themeColor="text1"/>
          <w:sz w:val="24"/>
          <w:szCs w:val="24"/>
          <w:highlight w:val="none"/>
          <w14:textFill>
            <w14:solidFill>
              <w14:schemeClr w14:val="tx1"/>
            </w14:solidFill>
          </w14:textFill>
        </w:rPr>
        <w:t xml:space="preserve">7、招标文件的澄清</w:t>
      </w:r>
      <w:bookmarkEnd w:id="69"/>
      <w:r/>
      <w:bookmarkEnd w:id="70"/>
      <w:r/>
      <w:bookmarkEnd w:id="71"/>
      <w:r/>
      <w:bookmarkEnd w:id="7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7.1</w:t>
      </w:r>
      <w:r>
        <w:rPr>
          <w:rFonts w:hint="eastAsia" w:ascii="宋体" w:hAnsi="宋体"/>
          <w:color w:val="000000" w:themeColor="text1"/>
          <w:sz w:val="24"/>
          <w:szCs w:val="24"/>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按招标公告中的通讯地址，以书面形式通知采购人。</w:t>
      </w:r>
      <w:r/>
    </w:p>
    <w:p>
      <w:pPr>
        <w:pStyle w:val="1057"/>
        <w:ind w:firstLine="560"/>
        <w:spacing w:before="0" w:after="0" w:line="360" w:lineRule="auto"/>
        <w:rPr>
          <w:b w:val="0"/>
          <w:bCs w:val="0"/>
          <w:color w:val="000000" w:themeColor="text1"/>
          <w:sz w:val="24"/>
          <w:szCs w:val="24"/>
          <w:highlight w:val="none"/>
          <w14:textFill>
            <w14:solidFill>
              <w14:schemeClr w14:val="tx1"/>
            </w14:solidFill>
          </w14:textFill>
        </w:rPr>
      </w:pPr>
      <w:r/>
      <w:bookmarkStart w:id="73" w:name="_Toc462564071"/>
      <w:r/>
      <w:bookmarkStart w:id="74" w:name="_Toc513029212"/>
      <w:r/>
      <w:bookmarkStart w:id="75" w:name="_Toc20823284"/>
      <w:r/>
      <w:bookmarkStart w:id="76" w:name="_Toc16938528"/>
      <w:r>
        <w:rPr>
          <w:rFonts w:hint="eastAsia"/>
          <w:b w:val="0"/>
          <w:bCs w:val="0"/>
          <w:color w:val="000000" w:themeColor="text1"/>
          <w:sz w:val="24"/>
          <w:szCs w:val="24"/>
          <w:highlight w:val="none"/>
          <w14:textFill>
            <w14:solidFill>
              <w14:schemeClr w14:val="tx1"/>
            </w14:solidFill>
          </w14:textFill>
        </w:rPr>
        <w:t xml:space="preserve">8、招标文件的修改</w:t>
      </w:r>
      <w:bookmarkEnd w:id="73"/>
      <w:r/>
      <w:bookmarkEnd w:id="74"/>
      <w:r/>
      <w:bookmarkEnd w:id="75"/>
      <w:r/>
      <w:bookmarkEnd w:id="7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color w:val="000000" w:themeColor="text1"/>
          <w:sz w:val="24"/>
          <w:szCs w:val="24"/>
          <w:highlight w:val="none"/>
          <w14:textFill>
            <w14:solidFill>
              <w14:schemeClr w14:val="tx1"/>
            </w14:solidFill>
          </w14:textFill>
        </w:rPr>
        <w:t xml:space="preserve"> 在投标截止时间</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，采购人可以对招标文件进行修改。</w:t>
      </w:r>
      <w:r/>
    </w:p>
    <w:p>
      <w:pPr>
        <w:ind w:firstLine="480"/>
        <w:spacing w:line="360" w:lineRule="auto"/>
        <w:rPr>
          <w:rFonts w:ascii="宋体" w:hAnsi="Arial"/>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w:t>
      </w:r>
      <w:r>
        <w:rPr>
          <w:rFonts w:hint="eastAsia" w:ascii="宋体" w:hAnsi="宋体"/>
          <w:color w:val="000000" w:themeColor="text1"/>
          <w:sz w:val="24"/>
          <w:szCs w:val="24"/>
          <w:highlight w:val="none"/>
          <w14:textFill>
            <w14:solidFill>
              <w14:schemeClr w14:val="tx1"/>
            </w14:solidFill>
          </w14:textFill>
        </w:rPr>
        <w:t xml:space="preserve">采购人有权按照法定的要求推迟投标截止日期和开标日期。</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8.3 </w:t>
      </w:r>
      <w:r>
        <w:rPr>
          <w:rFonts w:hint="eastAsia" w:ascii="宋体" w:hAnsi="宋体"/>
          <w:color w:val="000000" w:themeColor="text1"/>
          <w:sz w:val="24"/>
          <w:szCs w:val="24"/>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1060"/>
        <w:ind w:firstLine="482"/>
        <w:spacing w:before="145" w:after="145" w:line="360" w:lineRule="auto"/>
        <w:rPr>
          <w:color w:val="000000" w:themeColor="text1"/>
          <w:sz w:val="24"/>
          <w:szCs w:val="24"/>
          <w:highlight w:val="none"/>
          <w14:textFill>
            <w14:solidFill>
              <w14:schemeClr w14:val="tx1"/>
            </w14:solidFill>
          </w14:textFill>
        </w:rPr>
      </w:pPr>
      <w:r/>
      <w:bookmarkStart w:id="77" w:name="_Toc513029213"/>
      <w:r/>
      <w:bookmarkStart w:id="78" w:name="_Toc16938529"/>
      <w:r/>
      <w:bookmarkStart w:id="79" w:name="_Toc120614216"/>
      <w:r/>
      <w:bookmarkStart w:id="80" w:name="_Toc20823285"/>
      <w:r/>
      <w:bookmarkStart w:id="81" w:name="_Toc462564072"/>
      <w:r>
        <w:rPr>
          <w:rFonts w:hint="eastAsia"/>
          <w:color w:val="000000" w:themeColor="text1"/>
          <w:sz w:val="24"/>
          <w:szCs w:val="24"/>
          <w:highlight w:val="none"/>
          <w14:textFill>
            <w14:solidFill>
              <w14:schemeClr w14:val="tx1"/>
            </w14:solidFill>
          </w14:textFill>
        </w:rPr>
        <w:t xml:space="preserve">三、投标文件的编制</w:t>
      </w:r>
      <w:bookmarkEnd w:id="77"/>
      <w:r/>
      <w:bookmarkEnd w:id="78"/>
      <w:r/>
      <w:bookmarkEnd w:id="79"/>
      <w:r/>
      <w:bookmarkEnd w:id="80"/>
      <w:r/>
      <w:bookmarkEnd w:id="81"/>
      <w:r/>
      <w:r/>
    </w:p>
    <w:p>
      <w:pPr>
        <w:pStyle w:val="1057"/>
        <w:ind w:firstLine="560"/>
        <w:spacing w:before="0" w:after="0" w:line="360" w:lineRule="auto"/>
        <w:rPr>
          <w:bCs w:val="0"/>
          <w:color w:val="000000" w:themeColor="text1"/>
          <w:sz w:val="24"/>
          <w:szCs w:val="24"/>
          <w:highlight w:val="none"/>
          <w14:textFill>
            <w14:solidFill>
              <w14:schemeClr w14:val="tx1"/>
            </w14:solidFill>
          </w14:textFill>
        </w:rPr>
      </w:pPr>
      <w:r/>
      <w:bookmarkStart w:id="82" w:name="_Toc16938530"/>
      <w:r/>
      <w:bookmarkStart w:id="83" w:name="_Toc513029214"/>
      <w:r/>
      <w:bookmarkStart w:id="84" w:name="_Toc462564073"/>
      <w:r/>
      <w:bookmarkStart w:id="85" w:name="_Toc20823286"/>
      <w:r>
        <w:rPr>
          <w:rFonts w:hint="eastAsia"/>
          <w:b w:val="0"/>
          <w:bCs w:val="0"/>
          <w:color w:val="000000" w:themeColor="text1"/>
          <w:sz w:val="24"/>
          <w:szCs w:val="24"/>
          <w:highlight w:val="none"/>
          <w14:textFill>
            <w14:solidFill>
              <w14:schemeClr w14:val="tx1"/>
            </w14:solidFill>
          </w14:textFill>
        </w:rPr>
        <w:t xml:space="preserve">9、投标文件的语言及度量衡单位</w:t>
      </w:r>
      <w:bookmarkEnd w:id="82"/>
      <w:r/>
      <w:bookmarkEnd w:id="83"/>
      <w:r/>
      <w:bookmarkEnd w:id="84"/>
      <w:r/>
      <w:bookmarkEnd w:id="85"/>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9.1</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投标人提交的投标文件以及投标人与采购人就有关投标的所有来往通知、函件和文件均应使用</w:t>
      </w:r>
      <w:r>
        <w:rPr>
          <w:rFonts w:hint="eastAsia" w:ascii="宋体" w:hAnsi="宋体"/>
          <w:b/>
          <w:bCs/>
          <w:color w:val="000000" w:themeColor="text1"/>
          <w:sz w:val="24"/>
          <w:szCs w:val="24"/>
          <w:highlight w:val="none"/>
          <w14:textFill>
            <w14:solidFill>
              <w14:schemeClr w14:val="tx1"/>
            </w14:solidFill>
          </w14:textFill>
        </w:rPr>
        <w:t xml:space="preserve">简体中文</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9.2</w:t>
      </w:r>
      <w:r>
        <w:rPr>
          <w:rFonts w:hint="eastAsia" w:ascii="宋体" w:hAnsi="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86" w:name="_Toc513029215"/>
      <w:r/>
      <w:bookmarkStart w:id="87" w:name="_Toc20823287"/>
      <w:r/>
      <w:bookmarkStart w:id="88" w:name="_Toc16938531"/>
      <w:r/>
      <w:bookmarkStart w:id="89" w:name="_Toc462564074"/>
      <w:r>
        <w:rPr>
          <w:rFonts w:hint="eastAsia"/>
          <w:b w:val="0"/>
          <w:bCs w:val="0"/>
          <w:color w:val="000000" w:themeColor="text1"/>
          <w:sz w:val="24"/>
          <w:szCs w:val="24"/>
          <w:highlight w:val="none"/>
          <w14:textFill>
            <w14:solidFill>
              <w14:schemeClr w14:val="tx1"/>
            </w14:solidFill>
          </w14:textFill>
        </w:rPr>
        <w:t xml:space="preserve">10、投标文件构成</w:t>
      </w:r>
      <w:bookmarkEnd w:id="86"/>
      <w:r/>
      <w:bookmarkEnd w:id="87"/>
      <w:r/>
      <w:bookmarkEnd w:id="88"/>
      <w:r/>
      <w:bookmarkEnd w:id="8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10.1</w:t>
      </w:r>
      <w:r>
        <w:rPr>
          <w:rFonts w:hint="eastAsia" w:ascii="宋体" w:hAnsi="宋体"/>
          <w:color w:val="000000" w:themeColor="text1"/>
          <w:sz w:val="24"/>
          <w:szCs w:val="24"/>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90" w:name="_Hlt26668975"/>
      <w:r/>
      <w:bookmarkEnd w:id="90"/>
      <w:r/>
      <w:bookmarkStart w:id="91" w:name="_Hlt26954838"/>
      <w:r/>
      <w:bookmarkEnd w:id="91"/>
      <w:r/>
      <w:bookmarkStart w:id="92" w:name="_Hlt26670360"/>
      <w:r/>
      <w:bookmarkEnd w:id="92"/>
      <w:r/>
      <w:bookmarkStart w:id="93" w:name="_Toc14577357"/>
      <w:r/>
      <w:bookmarkStart w:id="94" w:name="_Toc513029216"/>
      <w:r/>
      <w:bookmarkStart w:id="95" w:name="_Toc49090507"/>
      <w:r/>
      <w:bookmarkStart w:id="96" w:name="_Toc14577354"/>
      <w:r/>
      <w:bookmarkStart w:id="97" w:name="_Toc513029219"/>
      <w:r/>
      <w:bookmarkStart w:id="98" w:name="_Toc49090509"/>
      <w:r>
        <w:rPr>
          <w:rFonts w:hint="eastAsia"/>
          <w:b w:val="0"/>
          <w:bCs w:val="0"/>
          <w:color w:val="000000" w:themeColor="text1"/>
          <w:sz w:val="24"/>
          <w:szCs w:val="24"/>
          <w:highlight w:val="none"/>
          <w14:textFill>
            <w14:solidFill>
              <w14:schemeClr w14:val="tx1"/>
            </w14:solidFill>
          </w14:textFill>
        </w:rPr>
        <w:t xml:space="preserve">11、证明投标人及投标标的符合招标文件规定的文件</w:t>
      </w:r>
      <w:bookmarkEnd w:id="93"/>
      <w:r/>
      <w:bookmarkEnd w:id="94"/>
      <w:r/>
      <w:bookmarkEnd w:id="95"/>
      <w:r/>
      <w:bookmarkEnd w:id="96"/>
      <w:r/>
      <w:bookmarkEnd w:id="97"/>
      <w:r/>
      <w:bookmarkEnd w:id="98"/>
      <w:r/>
      <w:r/>
    </w:p>
    <w:p>
      <w:pPr>
        <w:spacing w:line="360" w:lineRule="auto"/>
        <w:rPr>
          <w:rFonts w:ascii="宋体" w:hAnsi="宋体"/>
          <w:color w:val="000000" w:themeColor="text1"/>
          <w:sz w:val="24"/>
          <w:szCs w:val="24"/>
          <w:highlight w:val="none"/>
          <w14:textFill>
            <w14:solidFill>
              <w14:schemeClr w14:val="tx1"/>
            </w14:solidFill>
          </w14:textFill>
        </w:rPr>
      </w:pPr>
      <w:r/>
      <w:bookmarkStart w:id="99" w:name="_Toc14577355"/>
      <w:r/>
      <w:bookmarkStart w:id="100" w:name="_Toc49090508"/>
      <w:r>
        <w:rPr>
          <w:rFonts w:hint="eastAsia" w:ascii="宋体" w:hAnsi="宋体"/>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12、投标分项报价</w:t>
      </w:r>
      <w:bookmarkEnd w:id="99"/>
      <w:r/>
      <w:bookmarkStart w:id="101" w:name="_Hlt26670373"/>
      <w:r/>
      <w:bookmarkEnd w:id="101"/>
      <w:r>
        <w:rPr>
          <w:rFonts w:hint="eastAsia"/>
          <w:b w:val="0"/>
          <w:bCs w:val="0"/>
          <w:color w:val="000000" w:themeColor="text1"/>
          <w:sz w:val="24"/>
          <w:szCs w:val="24"/>
          <w:highlight w:val="none"/>
          <w14:textFill>
            <w14:solidFill>
              <w14:schemeClr w14:val="tx1"/>
            </w14:solidFill>
          </w14:textFill>
        </w:rPr>
        <w:t xml:space="preserve">表</w:t>
      </w:r>
      <w:bookmarkEnd w:id="10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12.1</w:t>
      </w:r>
      <w:r>
        <w:rPr>
          <w:rFonts w:hint="eastAsia" w:ascii="宋体" w:hAnsi="宋体"/>
          <w:color w:val="000000" w:themeColor="text1"/>
          <w:sz w:val="24"/>
          <w:szCs w:val="24"/>
          <w:highlight w:val="none"/>
          <w14:textFill>
            <w14:solidFill>
              <w14:schemeClr w14:val="tx1"/>
            </w14:solidFill>
          </w14:textFill>
        </w:rPr>
        <w:t xml:space="preserve"> 投</w:t>
      </w:r>
      <w:bookmarkStart w:id="102" w:name="_Hlt26954840"/>
      <w:r/>
      <w:bookmarkEnd w:id="102"/>
      <w:r>
        <w:rPr>
          <w:rFonts w:hint="eastAsia" w:ascii="宋体" w:hAnsi="宋体"/>
          <w:color w:val="000000" w:themeColor="text1"/>
          <w:sz w:val="24"/>
          <w:szCs w:val="24"/>
          <w:highlight w:val="none"/>
          <w14:textFill>
            <w14:solidFill>
              <w14:schemeClr w14:val="tx1"/>
            </w14:solidFill>
          </w14:textFill>
        </w:rPr>
        <w:t xml:space="preserve">标人应按照招标文件规定格式填报投标分项报价表</w:t>
      </w:r>
      <w:bookmarkStart w:id="103" w:name="_Hlt26670399"/>
      <w:r/>
      <w:bookmarkEnd w:id="103"/>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w:t>
      </w:r>
      <w:r>
        <w:rPr>
          <w:rFonts w:hint="eastAsia" w:ascii="宋体" w:hAnsi="宋体"/>
          <w:bCs/>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4"/>
          <w:highlight w:val="none"/>
          <w14:textFill>
            <w14:solidFill>
              <w14:schemeClr w14:val="tx1"/>
            </w14:solidFill>
          </w14:textFill>
        </w:rPr>
        <w:t xml:space="preserve">招标文件中另有规定的按规定执行。</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04" w:name="_Hlt26954848"/>
      <w:r/>
      <w:bookmarkEnd w:id="104"/>
      <w:r/>
      <w:bookmarkStart w:id="105" w:name="_Hlt26954846"/>
      <w:r/>
      <w:bookmarkEnd w:id="105"/>
      <w:r/>
      <w:bookmarkStart w:id="106" w:name="_Hlt26670486"/>
      <w:r/>
      <w:bookmarkEnd w:id="106"/>
      <w:r/>
      <w:bookmarkStart w:id="107" w:name="_Hlt26954842"/>
      <w:r/>
      <w:bookmarkEnd w:id="107"/>
      <w:r/>
      <w:bookmarkStart w:id="108" w:name="_Hlt26954731"/>
      <w:r/>
      <w:bookmarkEnd w:id="108"/>
      <w:r/>
      <w:bookmarkStart w:id="109" w:name="_Hlt26670482"/>
      <w:r/>
      <w:bookmarkEnd w:id="109"/>
      <w:r/>
      <w:bookmarkStart w:id="110" w:name="_Hlt26670425"/>
      <w:r/>
      <w:bookmarkEnd w:id="110"/>
      <w:r/>
      <w:bookmarkStart w:id="111" w:name="_Hlt26954844"/>
      <w:r/>
      <w:bookmarkEnd w:id="111"/>
      <w:r/>
      <w:bookmarkStart w:id="112" w:name="_Hlt26670403"/>
      <w:r/>
      <w:bookmarkEnd w:id="112"/>
      <w:r/>
      <w:bookmarkStart w:id="113" w:name="_Hlt26668983"/>
      <w:r/>
      <w:bookmarkEnd w:id="113"/>
      <w:r>
        <w:rPr>
          <w:rFonts w:hint="eastAsia"/>
          <w:b w:val="0"/>
          <w:bCs w:val="0"/>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 w:val="24"/>
          <w:szCs w:val="24"/>
          <w:highlight w:val="none"/>
          <w:lang w:val="zh-CN"/>
          <w14:textFill>
            <w14:solidFill>
              <w14:schemeClr w14:val="tx1"/>
            </w14:solidFill>
          </w14:textFill>
        </w:rPr>
      </w:pPr>
      <w:r>
        <w:rPr>
          <w:rFonts w:ascii="宋体" w:hAnsi="Arial" w:cs="宋体"/>
          <w:bCs/>
          <w:color w:val="000000" w:themeColor="text1"/>
          <w:sz w:val="24"/>
          <w:szCs w:val="24"/>
          <w:highlight w:val="none"/>
          <w:lang w:val="zh-CN"/>
          <w14:textFill>
            <w14:solidFill>
              <w14:schemeClr w14:val="tx1"/>
            </w14:solidFill>
          </w14:textFill>
        </w:rPr>
        <w:t xml:space="preserve">1</w:t>
      </w:r>
      <w:r>
        <w:rPr>
          <w:rFonts w:hint="eastAsia" w:ascii="宋体" w:hAnsi="Arial" w:cs="宋体"/>
          <w:bCs/>
          <w:color w:val="000000" w:themeColor="text1"/>
          <w:sz w:val="24"/>
          <w:szCs w:val="24"/>
          <w:highlight w:val="none"/>
          <w:lang w:val="zh-CN"/>
          <w14:textFill>
            <w14:solidFill>
              <w14:schemeClr w14:val="tx1"/>
            </w14:solidFill>
          </w14:textFill>
        </w:rPr>
        <w:t xml:space="preserve">3</w:t>
      </w:r>
      <w:r>
        <w:rPr>
          <w:rFonts w:ascii="宋体" w:hAnsi="Arial" w:cs="宋体"/>
          <w:bCs/>
          <w:color w:val="000000" w:themeColor="text1"/>
          <w:sz w:val="24"/>
          <w:szCs w:val="24"/>
          <w:highlight w:val="none"/>
          <w:lang w:val="zh-CN"/>
          <w14:textFill>
            <w14:solidFill>
              <w14:schemeClr w14:val="tx1"/>
            </w14:solidFill>
          </w14:textFill>
        </w:rPr>
        <w:t xml:space="preserve">.1</w:t>
      </w:r>
      <w:r>
        <w:rPr>
          <w:rFonts w:ascii="宋体" w:hAnsi="Arial" w:cs="宋体"/>
          <w:color w:val="000000" w:themeColor="text1"/>
          <w:sz w:val="24"/>
          <w:szCs w:val="24"/>
          <w:highlight w:val="none"/>
          <w:lang w:val="zh-CN"/>
          <w14:textFill>
            <w14:solidFill>
              <w14:schemeClr w14:val="tx1"/>
            </w14:solidFill>
          </w14:textFill>
        </w:rPr>
        <w:t xml:space="preserve"> </w:t>
      </w:r>
      <w:r>
        <w:rPr>
          <w:rFonts w:hint="eastAsia" w:ascii="宋体" w:hAnsi="Arial" w:cs="宋体"/>
          <w:color w:val="000000" w:themeColor="text1"/>
          <w:sz w:val="24"/>
          <w:szCs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000000" w:themeColor="text1"/>
          <w:sz w:val="24"/>
          <w:szCs w:val="24"/>
          <w:highlight w:val="none"/>
          <w:lang w:val="zh-CN"/>
          <w14:textFill>
            <w14:solidFill>
              <w14:schemeClr w14:val="tx1"/>
            </w14:solidFill>
          </w14:textFill>
        </w:rPr>
      </w:pPr>
      <w:r>
        <w:rPr>
          <w:rFonts w:hint="eastAsia" w:ascii="宋体" w:hAnsi="Arial" w:cs="宋体"/>
          <w:color w:val="000000" w:themeColor="text1"/>
          <w:sz w:val="24"/>
          <w:szCs w:val="24"/>
          <w:highlight w:val="none"/>
          <w:lang w:val="zh-CN"/>
          <w14:textFill>
            <w14:solidFill>
              <w14:schemeClr w14:val="tx1"/>
            </w14:solidFill>
          </w14:textFill>
        </w:rPr>
        <w:t xml:space="preserve">13.2 投标人可在投标文件中提供认为需要的其他技术文件或说明。</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14" w:name="_Toc14577359"/>
      <w:r/>
      <w:bookmarkStart w:id="115" w:name="_Toc49090510"/>
      <w:r>
        <w:rPr>
          <w:rFonts w:hint="eastAsia"/>
          <w:b w:val="0"/>
          <w:bCs w:val="0"/>
          <w:color w:val="000000" w:themeColor="text1"/>
          <w:sz w:val="24"/>
          <w:szCs w:val="24"/>
          <w:highlight w:val="none"/>
          <w14:textFill>
            <w14:solidFill>
              <w14:schemeClr w14:val="tx1"/>
            </w14:solidFill>
          </w14:textFill>
        </w:rPr>
        <w:t xml:space="preserve">14、投标函和开标一览表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14.2</w:t>
      </w:r>
      <w:r>
        <w:rPr>
          <w:rFonts w:hint="eastAsia" w:ascii="宋体" w:hAnsi="宋体"/>
          <w:color w:val="000000" w:themeColor="text1"/>
          <w:sz w:val="24"/>
          <w:szCs w:val="24"/>
          <w:highlight w:val="none"/>
          <w14:textFill>
            <w14:solidFill>
              <w14:schemeClr w14:val="tx1"/>
            </w14:solidFill>
          </w14:textFill>
        </w:rPr>
        <w:t xml:space="preserve"> 对于采用货币报价的项目，</w:t>
      </w:r>
      <w:r>
        <w:rPr>
          <w:rFonts w:hint="eastAsia" w:ascii="宋体" w:hAnsi="宋体"/>
          <w:bCs/>
          <w:color w:val="000000" w:themeColor="text1"/>
          <w:sz w:val="24"/>
          <w:szCs w:val="24"/>
          <w:highlight w:val="none"/>
          <w14:textFill>
            <w14:solidFill>
              <w14:schemeClr w14:val="tx1"/>
            </w14:solidFill>
          </w14:textFill>
        </w:rPr>
        <w:t xml:space="preserve">开标一览表中的投标总报价应与投标分项报价表中的投标总报价一致，如不一致，</w:t>
      </w:r>
      <w:r>
        <w:rPr>
          <w:rFonts w:hint="eastAsia" w:ascii="宋体" w:hAnsi="宋体"/>
          <w:color w:val="000000" w:themeColor="text1"/>
          <w:sz w:val="24"/>
          <w:szCs w:val="24"/>
          <w:highlight w:val="none"/>
          <w14:textFill>
            <w14:solidFill>
              <w14:schemeClr w14:val="tx1"/>
            </w14:solidFill>
          </w14:textFill>
        </w:rPr>
        <w:t xml:space="preserve">不作为无效投标处理</w:t>
      </w:r>
      <w:r>
        <w:rPr>
          <w:rFonts w:hint="eastAsia" w:ascii="宋体" w:hAnsi="宋体"/>
          <w:bCs/>
          <w:color w:val="000000" w:themeColor="text1"/>
          <w:sz w:val="24"/>
          <w:szCs w:val="24"/>
          <w:highlight w:val="none"/>
          <w14:textFill>
            <w14:solidFill>
              <w14:schemeClr w14:val="tx1"/>
            </w14:solidFill>
          </w14:textFill>
        </w:rPr>
        <w:t xml:space="preserve">，但评标时按开标一览表中价格为准</w:t>
      </w:r>
      <w:r>
        <w:rPr>
          <w:rFonts w:hint="eastAsia" w:ascii="宋体" w:hAnsi="宋体"/>
          <w:b/>
          <w:bCs/>
          <w:color w:val="000000" w:themeColor="text1"/>
          <w:sz w:val="24"/>
          <w:szCs w:val="24"/>
          <w:highlight w:val="none"/>
          <w14:textFill>
            <w14:solidFill>
              <w14:schemeClr w14:val="tx1"/>
            </w14:solidFill>
          </w14:textFill>
        </w:rPr>
        <w:t xml:space="preserve">。</w:t>
      </w:r>
      <w:bookmarkEnd w:id="114"/>
      <w:r/>
      <w:bookmarkEnd w:id="115"/>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b w:val="0"/>
          <w:bCs w:val="0"/>
          <w:color w:val="000000" w:themeColor="text1"/>
          <w:sz w:val="24"/>
          <w:szCs w:val="24"/>
          <w:highlight w:val="none"/>
          <w14:textFill>
            <w14:solidFill>
              <w14:schemeClr w14:val="tx1"/>
            </w14:solidFill>
          </w14:textFill>
        </w:rPr>
        <w:t xml:space="preserve">15、投标有效期</w:t>
      </w:r>
      <w:bookmarkEnd w:id="119"/>
      <w:r/>
      <w:bookmarkEnd w:id="12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w:t>
      </w:r>
      <w:r>
        <w:rPr>
          <w:rFonts w:hint="eastAsia" w:ascii="宋体" w:hAnsi="宋体"/>
          <w:bCs/>
          <w:color w:val="000000" w:themeColor="text1"/>
          <w:sz w:val="24"/>
          <w:szCs w:val="24"/>
          <w:highlight w:val="none"/>
          <w14:textFill>
            <w14:solidFill>
              <w14:schemeClr w14:val="tx1"/>
            </w14:solidFill>
          </w14:textFill>
        </w:rPr>
        <w:t xml:space="preserve"> 投标有效期为采购人规定的开标之日后</w:t>
      </w:r>
      <w:r>
        <w:rPr>
          <w:rFonts w:hint="eastAsia" w:ascii="仿宋_GB2312" w:hAnsi="仿宋_GB2312"/>
          <w:b/>
          <w:color w:val="000000" w:themeColor="text1"/>
          <w:sz w:val="24"/>
          <w:szCs w:val="24"/>
          <w:highlight w:val="none"/>
          <w:u w:val="single"/>
          <w14:textFill>
            <w14:solidFill>
              <w14:schemeClr w14:val="tx1"/>
            </w14:solidFill>
          </w14:textFill>
        </w:rPr>
        <w:t xml:space="preserve">六十（60）天</w:t>
      </w:r>
      <w:r>
        <w:rPr>
          <w:rFonts w:hint="eastAsia" w:ascii="宋体" w:hAnsi="宋体"/>
          <w:bCs/>
          <w:color w:val="000000" w:themeColor="text1"/>
          <w:sz w:val="24"/>
          <w:szCs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而予以拒绝。</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16、投标有效期的延长</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16.1</w:t>
      </w:r>
      <w:r>
        <w:rPr>
          <w:rFonts w:hint="eastAsia" w:ascii="宋体" w:hAnsi="宋体"/>
          <w:bCs/>
          <w:color w:val="000000" w:themeColor="text1"/>
          <w:sz w:val="24"/>
          <w:szCs w:val="24"/>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szCs w:val="24"/>
          <w:highlight w:val="none"/>
          <w14:textFill>
            <w14:solidFill>
              <w14:schemeClr w14:val="tx1"/>
            </w14:solidFill>
          </w14:textFill>
        </w:rPr>
        <w:t xml:space="preserve">。</w:t>
      </w:r>
      <w:r/>
    </w:p>
    <w:p>
      <w:pPr>
        <w:pStyle w:val="1060"/>
        <w:ind w:firstLine="482"/>
        <w:spacing w:before="145" w:after="145" w:line="360" w:lineRule="auto"/>
        <w:rPr>
          <w:color w:val="000000" w:themeColor="text1"/>
          <w:sz w:val="24"/>
          <w:szCs w:val="24"/>
          <w:highlight w:val="none"/>
          <w14:textFill>
            <w14:solidFill>
              <w14:schemeClr w14:val="tx1"/>
            </w14:solidFill>
          </w14:textFill>
        </w:rPr>
      </w:pPr>
      <w:r/>
      <w:bookmarkStart w:id="121" w:name="_Hlt26954739"/>
      <w:r/>
      <w:bookmarkEnd w:id="121"/>
      <w:r/>
      <w:bookmarkStart w:id="122" w:name="_Hlt26954852"/>
      <w:r/>
      <w:bookmarkEnd w:id="122"/>
      <w:r/>
      <w:bookmarkStart w:id="123" w:name="_Toc16938540"/>
      <w:r/>
      <w:bookmarkStart w:id="124" w:name="_Toc513029224"/>
      <w:r/>
      <w:bookmarkStart w:id="125" w:name="_Toc20823296"/>
      <w:r/>
      <w:bookmarkStart w:id="126" w:name="_Toc120614217"/>
      <w:r>
        <w:rPr>
          <w:rFonts w:hint="eastAsia"/>
          <w:color w:val="000000" w:themeColor="text1"/>
          <w:sz w:val="24"/>
          <w:szCs w:val="24"/>
          <w:highlight w:val="none"/>
          <w14:textFill>
            <w14:solidFill>
              <w14:schemeClr w14:val="tx1"/>
            </w14:solidFill>
          </w14:textFill>
        </w:rPr>
        <w:t xml:space="preserve">四、投标文件的递交</w:t>
      </w:r>
      <w:bookmarkEnd w:id="123"/>
      <w:r/>
      <w:bookmarkEnd w:id="124"/>
      <w:r/>
      <w:bookmarkEnd w:id="125"/>
      <w:r/>
      <w:bookmarkEnd w:id="126"/>
      <w:r/>
      <w:r/>
    </w:p>
    <w:p>
      <w:pPr>
        <w:pStyle w:val="1057"/>
        <w:ind w:firstLine="560"/>
        <w:spacing w:before="0" w:after="0" w:line="360" w:lineRule="auto"/>
        <w:rPr>
          <w:rFonts w:ascii="黑体"/>
          <w:b w:val="0"/>
          <w:bCs w:val="0"/>
          <w:color w:val="000000" w:themeColor="text1"/>
          <w:sz w:val="24"/>
          <w:szCs w:val="24"/>
          <w:highlight w:val="none"/>
          <w14:textFill>
            <w14:solidFill>
              <w14:schemeClr w14:val="tx1"/>
            </w14:solidFill>
          </w14:textFill>
        </w:rPr>
      </w:pPr>
      <w:r/>
      <w:bookmarkStart w:id="127" w:name="_Toc16938541"/>
      <w:r/>
      <w:bookmarkStart w:id="128" w:name="_Toc513029225"/>
      <w:r/>
      <w:bookmarkStart w:id="129" w:name="_Toc462564084"/>
      <w:r/>
      <w:bookmarkStart w:id="130" w:name="_Toc20823297"/>
      <w:r>
        <w:rPr>
          <w:rFonts w:hint="eastAsia"/>
          <w:b w:val="0"/>
          <w:bCs w:val="0"/>
          <w:color w:val="000000" w:themeColor="text1"/>
          <w:sz w:val="24"/>
          <w:szCs w:val="24"/>
          <w:highlight w:val="none"/>
          <w14:textFill>
            <w14:solidFill>
              <w14:schemeClr w14:val="tx1"/>
            </w14:solidFill>
          </w14:textFill>
        </w:rPr>
        <w:t xml:space="preserve">17、</w:t>
      </w:r>
      <w:r>
        <w:rPr>
          <w:rFonts w:hint="eastAsia" w:ascii="黑体"/>
          <w:b w:val="0"/>
          <w:bCs w:val="0"/>
          <w:color w:val="000000" w:themeColor="text1"/>
          <w:sz w:val="24"/>
          <w:szCs w:val="24"/>
          <w:highlight w:val="none"/>
          <w14:textFill>
            <w14:solidFill>
              <w14:schemeClr w14:val="tx1"/>
            </w14:solidFill>
          </w14:textFill>
        </w:rPr>
        <w:t xml:space="preserve">投标文件</w:t>
      </w:r>
      <w:bookmarkEnd w:id="127"/>
      <w:r/>
      <w:bookmarkEnd w:id="128"/>
      <w:r/>
      <w:bookmarkEnd w:id="129"/>
      <w:r/>
      <w:bookmarkEnd w:id="130"/>
      <w:r>
        <w:rPr>
          <w:rFonts w:hint="eastAsia" w:ascii="黑体"/>
          <w:b w:val="0"/>
          <w:bCs w:val="0"/>
          <w:color w:val="000000" w:themeColor="text1"/>
          <w:sz w:val="24"/>
          <w:szCs w:val="24"/>
          <w:highlight w:val="none"/>
          <w14:textFill>
            <w14:solidFill>
              <w14:schemeClr w14:val="tx1"/>
            </w14:solidFill>
          </w14:textFill>
        </w:rPr>
        <w:t xml:space="preserve">的递交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17.1</w:t>
      </w:r>
      <w:r>
        <w:rPr>
          <w:rFonts w:hint="eastAsia" w:ascii="宋体" w:hAnsi="宋体"/>
          <w:bCs/>
          <w:color w:val="000000" w:themeColor="text1"/>
          <w:sz w:val="24"/>
          <w:szCs w:val="24"/>
          <w:highlight w:val="none"/>
          <w14:textFill>
            <w14:solidFill>
              <w14:schemeClr w14:val="tx1"/>
            </w14:solidFill>
          </w14:textFill>
        </w:rPr>
        <w:t xml:space="preserve"> 电子投标文件的递交</w:t>
      </w:r>
      <w:r/>
    </w:p>
    <w:p>
      <w:pPr>
        <w:pStyle w:val="1061"/>
        <w:ind w:left="5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szCs w:val="24"/>
          <w:highlight w:val="none"/>
          <w14:textFill>
            <w14:solidFill>
              <w14:schemeClr w14:val="tx1"/>
            </w14:solidFill>
          </w14:textFill>
        </w:rPr>
        <w:t xml:space="preserve">制作</w:t>
      </w:r>
      <w:r>
        <w:rPr>
          <w:rFonts w:hint="eastAsia" w:ascii="宋体" w:hAnsi="宋体"/>
          <w:bCs/>
          <w:color w:val="000000" w:themeColor="text1"/>
          <w:sz w:val="24"/>
          <w:szCs w:val="24"/>
          <w:highlight w:val="none"/>
          <w14:textFill>
            <w14:solidFill>
              <w14:schemeClr w14:val="tx1"/>
            </w14:solidFill>
          </w14:textFill>
        </w:rPr>
        <w:t xml:space="preserve">并上传电子投标文件。</w:t>
      </w:r>
      <w:bookmarkStart w:id="131" w:name="_Toc513029226"/>
      <w:r/>
      <w:bookmarkStart w:id="132" w:name="_Toc20823298"/>
      <w:r/>
      <w:bookmarkStart w:id="133" w:name="_Toc16938542"/>
      <w:r/>
      <w:r/>
    </w:p>
    <w:p>
      <w:pPr>
        <w:pStyle w:val="1057"/>
        <w:ind w:firstLine="420"/>
        <w:spacing w:line="360" w:lineRule="auto"/>
        <w:rPr>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18、投标截止</w:t>
      </w:r>
      <w:bookmarkEnd w:id="131"/>
      <w:r/>
      <w:bookmarkEnd w:id="132"/>
      <w:r/>
      <w:bookmarkEnd w:id="133"/>
      <w:r>
        <w:rPr>
          <w:rFonts w:hint="eastAsia"/>
          <w:b w:val="0"/>
          <w:color w:val="000000" w:themeColor="text1"/>
          <w:sz w:val="24"/>
          <w:szCs w:val="24"/>
          <w:highlight w:val="none"/>
          <w14:textFill>
            <w14:solidFill>
              <w14:schemeClr w14:val="tx1"/>
            </w14:solidFill>
          </w14:textFill>
        </w:rPr>
        <w:t xml:space="preserve">时间</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 xml:space="preserve">18.1</w:t>
      </w:r>
      <w:r>
        <w:rPr>
          <w:rFonts w:hint="eastAsia" w:ascii="宋体" w:hAnsi="宋体"/>
          <w:bCs/>
          <w:i/>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18.2</w:t>
      </w:r>
      <w:r>
        <w:rPr>
          <w:rFonts w:hint="eastAsia" w:ascii="宋体" w:hAnsi="宋体"/>
          <w:bCs/>
          <w:color w:val="000000" w:themeColor="text1"/>
          <w:sz w:val="24"/>
          <w:szCs w:val="24"/>
          <w:highlight w:val="none"/>
          <w14:textFill>
            <w14:solidFill>
              <w14:schemeClr w14:val="tx1"/>
            </w14:solidFill>
          </w14:textFill>
        </w:rPr>
        <w:t xml:space="preserve"> 采购人可以按照规定，通过修改招标文件酌情延长投标截止时间，在此情况下，投标人的所有权利和义务以及投标人受制的截止时间均应以延长后新的截止时间为准。</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34" w:name="_Toc16938543"/>
      <w:r/>
      <w:bookmarkStart w:id="135" w:name="_Toc20823299"/>
      <w:r/>
      <w:bookmarkStart w:id="136" w:name="_Toc513029227"/>
      <w:r>
        <w:rPr>
          <w:rFonts w:hint="eastAsia"/>
          <w:b w:val="0"/>
          <w:bCs w:val="0"/>
          <w:color w:val="000000" w:themeColor="text1"/>
          <w:sz w:val="24"/>
          <w:szCs w:val="24"/>
          <w:highlight w:val="none"/>
          <w14:textFill>
            <w14:solidFill>
              <w14:schemeClr w14:val="tx1"/>
            </w14:solidFill>
          </w14:textFill>
        </w:rPr>
        <w:t xml:space="preserve">19、投标文件</w:t>
      </w:r>
      <w:bookmarkEnd w:id="134"/>
      <w:r/>
      <w:bookmarkEnd w:id="135"/>
      <w:r/>
      <w:bookmarkEnd w:id="136"/>
      <w:r>
        <w:rPr>
          <w:rFonts w:hint="eastAsia"/>
          <w:b w:val="0"/>
          <w:bCs w:val="0"/>
          <w:color w:val="000000" w:themeColor="text1"/>
          <w:sz w:val="24"/>
          <w:szCs w:val="24"/>
          <w:highlight w:val="none"/>
          <w14:textFill>
            <w14:solidFill>
              <w14:schemeClr w14:val="tx1"/>
            </w14:solidFill>
          </w14:textFill>
        </w:rPr>
        <w:t xml:space="preserve">的拒收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19.1</w:t>
      </w:r>
      <w:r>
        <w:rPr>
          <w:rFonts w:hint="eastAsia" w:ascii="宋体" w:hAnsi="宋体"/>
          <w:bCs/>
          <w:color w:val="000000" w:themeColor="text1"/>
          <w:sz w:val="24"/>
          <w:szCs w:val="24"/>
          <w:highlight w:val="none"/>
          <w14:textFill>
            <w14:solidFill>
              <w14:schemeClr w14:val="tx1"/>
            </w14:solidFill>
          </w14:textFill>
        </w:rPr>
        <w:t xml:space="preserve">采购人拒绝接收在其规定的投标截止时间后上传的任何投标文件。</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37" w:name="_Toc20823300"/>
      <w:r/>
      <w:bookmarkStart w:id="138" w:name="_Toc513029228"/>
      <w:r/>
      <w:bookmarkStart w:id="139" w:name="_Toc16938544"/>
      <w:r>
        <w:rPr>
          <w:rFonts w:hint="eastAsia"/>
          <w:b w:val="0"/>
          <w:bCs w:val="0"/>
          <w:color w:val="000000" w:themeColor="text1"/>
          <w:sz w:val="24"/>
          <w:szCs w:val="24"/>
          <w:highlight w:val="none"/>
          <w14:textFill>
            <w14:solidFill>
              <w14:schemeClr w14:val="tx1"/>
            </w14:solidFill>
          </w14:textFill>
        </w:rPr>
        <w:t xml:space="preserve">20、投标文件的撤回和修改</w:t>
      </w:r>
      <w:bookmarkEnd w:id="137"/>
      <w:r/>
      <w:bookmarkEnd w:id="138"/>
      <w:r/>
      <w:bookmarkEnd w:id="13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20.1 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21.1.1 电子投标文件的撤回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 投标文件的修改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szCs w:val="24"/>
          <w:highlight w:val="none"/>
          <w14:textFill>
            <w14:solidFill>
              <w14:schemeClr w14:val="tx1"/>
            </w14:solidFill>
          </w14:textFill>
        </w:rPr>
        <w:t xml:space="preserve"> 在投标截止时间之后，投标人不得对其电子投标文件作任何修改。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20.3</w:t>
      </w:r>
      <w:r>
        <w:rPr>
          <w:rFonts w:hint="eastAsia" w:ascii="宋体" w:hAnsi="宋体"/>
          <w:bCs/>
          <w:color w:val="000000" w:themeColor="text1"/>
          <w:sz w:val="24"/>
          <w:szCs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60"/>
        <w:ind w:firstLine="482"/>
        <w:spacing w:before="145" w:after="145" w:line="360" w:lineRule="auto"/>
        <w:rPr>
          <w:color w:val="000000" w:themeColor="text1"/>
          <w:sz w:val="24"/>
          <w:szCs w:val="24"/>
          <w:highlight w:val="none"/>
          <w14:textFill>
            <w14:solidFill>
              <w14:schemeClr w14:val="tx1"/>
            </w14:solidFill>
          </w14:textFill>
        </w:rPr>
      </w:pPr>
      <w:r/>
      <w:bookmarkStart w:id="140" w:name="_Toc16938545"/>
      <w:r/>
      <w:bookmarkStart w:id="141" w:name="_Toc120614218"/>
      <w:r/>
      <w:bookmarkStart w:id="142" w:name="_Toc20823301"/>
      <w:r/>
      <w:bookmarkStart w:id="143" w:name="_Toc513029229"/>
      <w:r>
        <w:rPr>
          <w:rFonts w:hint="eastAsia"/>
          <w:color w:val="000000" w:themeColor="text1"/>
          <w:sz w:val="24"/>
          <w:szCs w:val="24"/>
          <w:highlight w:val="none"/>
          <w14:textFill>
            <w14:solidFill>
              <w14:schemeClr w14:val="tx1"/>
            </w14:solidFill>
          </w14:textFill>
        </w:rPr>
        <w:t xml:space="preserve">五、开标与评标</w:t>
      </w:r>
      <w:bookmarkEnd w:id="140"/>
      <w:r/>
      <w:bookmarkEnd w:id="141"/>
      <w:r/>
      <w:bookmarkEnd w:id="142"/>
      <w:r/>
      <w:bookmarkEnd w:id="143"/>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44" w:name="_Toc513029230"/>
      <w:r/>
      <w:bookmarkStart w:id="145" w:name="_Toc20823302"/>
      <w:r/>
      <w:bookmarkStart w:id="146" w:name="_Toc16938546"/>
      <w:r>
        <w:rPr>
          <w:rFonts w:hint="eastAsia"/>
          <w:b w:val="0"/>
          <w:bCs w:val="0"/>
          <w:color w:val="000000" w:themeColor="text1"/>
          <w:sz w:val="24"/>
          <w:szCs w:val="24"/>
          <w:highlight w:val="none"/>
          <w14:textFill>
            <w14:solidFill>
              <w14:schemeClr w14:val="tx1"/>
            </w14:solidFill>
          </w14:textFill>
        </w:rPr>
        <w:t xml:space="preserve">21、开标</w:t>
      </w:r>
      <w:bookmarkEnd w:id="144"/>
      <w:r/>
      <w:bookmarkEnd w:id="145"/>
      <w:r/>
      <w:bookmarkEnd w:id="146"/>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hint="eastAsia" w:ascii="宋体" w:hAnsi="宋体"/>
          <w:bCs/>
          <w:color w:val="000000" w:themeColor="text1"/>
          <w:sz w:val="24"/>
          <w:szCs w:val="24"/>
          <w:highlight w:val="none"/>
          <w14:textFill>
            <w14:solidFill>
              <w14:schemeClr w14:val="tx1"/>
            </w14:solidFill>
          </w14:textFill>
        </w:rPr>
        <w:t xml:space="preserve"> 采购人将在招标公告中规定的时间和地点组织公开开标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21.2</w:t>
      </w:r>
      <w:r>
        <w:rPr>
          <w:rFonts w:hint="eastAsia" w:ascii="宋体" w:hAnsi="宋体"/>
          <w:color w:val="000000" w:themeColor="text1"/>
          <w:sz w:val="24"/>
          <w:szCs w:val="24"/>
          <w:highlight w:val="none"/>
          <w14:textFill>
            <w14:solidFill>
              <w14:schemeClr w14:val="tx1"/>
            </w14:solidFill>
          </w14:textFill>
        </w:rPr>
        <w:t xml:space="preserve">开标仪式由采购人组织。苏采云系统将自动对</w:t>
      </w:r>
      <w:r>
        <w:rPr>
          <w:rFonts w:ascii="宋体" w:hAnsi="宋体"/>
          <w:color w:val="000000" w:themeColor="text1"/>
          <w:sz w:val="24"/>
          <w:szCs w:val="24"/>
          <w:highlight w:val="none"/>
          <w14:textFill>
            <w14:solidFill>
              <w14:schemeClr w14:val="tx1"/>
            </w14:solidFill>
          </w14:textFill>
        </w:rPr>
        <w:t xml:space="preserve">项目进行开标，并</w:t>
      </w:r>
      <w:r>
        <w:rPr>
          <w:rFonts w:hint="eastAsia" w:ascii="宋体" w:hAnsi="宋体"/>
          <w:color w:val="000000" w:themeColor="text1"/>
          <w:sz w:val="24"/>
          <w:szCs w:val="24"/>
          <w:highlight w:val="none"/>
          <w14:textFill>
            <w14:solidFill>
              <w14:schemeClr w14:val="tx1"/>
            </w14:solidFill>
          </w14:textFill>
        </w:rPr>
        <w:t xml:space="preserve">宣布各</w:t>
      </w:r>
      <w:r>
        <w:rPr>
          <w:rFonts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名称和投标价格。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47" w:name="_Toc16938547"/>
      <w:r/>
      <w:bookmarkStart w:id="148" w:name="_Toc20823303"/>
      <w:r/>
      <w:bookmarkStart w:id="149" w:name="_Toc513029231"/>
      <w:r>
        <w:rPr>
          <w:rFonts w:hint="eastAsia"/>
          <w:b w:val="0"/>
          <w:bCs w:val="0"/>
          <w:color w:val="000000" w:themeColor="text1"/>
          <w:sz w:val="24"/>
          <w:szCs w:val="24"/>
          <w:highlight w:val="none"/>
          <w14:textFill>
            <w14:solidFill>
              <w14:schemeClr w14:val="tx1"/>
            </w14:solidFill>
          </w14:textFill>
        </w:rPr>
        <w:t xml:space="preserve">22、评标委员会</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开标后，采购人将立即组织评标委员会（以下简称评委会）进行评标。</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22.3评委会独立工作，负责评审所有投标文件并确定中标侯选人。</w:t>
      </w:r>
      <w:r/>
    </w:p>
    <w:p>
      <w:pPr>
        <w:pStyle w:val="1057"/>
        <w:ind w:firstLine="420"/>
        <w:spacing w:before="0" w:after="0" w:line="360" w:lineRule="auto"/>
        <w:rPr>
          <w:rFonts w:ascii="黑体"/>
          <w:b w:val="0"/>
          <w:bCs w:val="0"/>
          <w:color w:val="000000" w:themeColor="text1"/>
          <w:sz w:val="24"/>
          <w:szCs w:val="24"/>
          <w:highlight w:val="none"/>
          <w14:textFill>
            <w14:solidFill>
              <w14:schemeClr w14:val="tx1"/>
            </w14:solidFill>
          </w14:textFill>
        </w:rPr>
      </w:pPr>
      <w:r>
        <w:rPr>
          <w:rFonts w:hint="eastAsia" w:ascii="黑体"/>
          <w:b w:val="0"/>
          <w:bCs w:val="0"/>
          <w:color w:val="000000" w:themeColor="text1"/>
          <w:sz w:val="24"/>
          <w:szCs w:val="24"/>
          <w:highlight w:val="none"/>
          <w14:textFill>
            <w14:solidFill>
              <w14:schemeClr w14:val="tx1"/>
            </w14:solidFill>
          </w14:textFill>
        </w:rPr>
        <w:t xml:space="preserve">23、评标过程的保密与公正</w:t>
      </w:r>
      <w:bookmarkEnd w:id="147"/>
      <w:r/>
      <w:bookmarkEnd w:id="148"/>
      <w:r/>
      <w:bookmarkEnd w:id="149"/>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23.1</w:t>
      </w:r>
      <w:r>
        <w:rPr>
          <w:rFonts w:hint="eastAsia" w:ascii="宋体" w:hAnsi="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凡是与审查、澄清、评价和比较投标的有关资料以及授标建议等，采购人、评委均不得向投标人或与评标无关的其他人员透露。</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采购人和评标委员会不向未中标的投标人解释未中标原因，也不公布评标过程中的相关细节。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50" w:name="_Toc16938548"/>
      <w:r/>
      <w:bookmarkStart w:id="151" w:name="_Toc20823304"/>
      <w:r/>
      <w:bookmarkStart w:id="152" w:name="_Toc513029232"/>
      <w:r>
        <w:rPr>
          <w:rFonts w:hint="eastAsia"/>
          <w:b w:val="0"/>
          <w:bCs w:val="0"/>
          <w:color w:val="000000" w:themeColor="text1"/>
          <w:sz w:val="24"/>
          <w:szCs w:val="24"/>
          <w:highlight w:val="none"/>
          <w14:textFill>
            <w14:solidFill>
              <w14:schemeClr w14:val="tx1"/>
            </w14:solidFill>
          </w14:textFill>
        </w:rPr>
        <w:t xml:space="preserve">24、投标文件的澄清</w:t>
      </w:r>
      <w:bookmarkEnd w:id="150"/>
      <w:r/>
      <w:bookmarkEnd w:id="151"/>
      <w:r/>
      <w:bookmarkEnd w:id="1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bookmarkStart w:id="153" w:name="_Toc20823305"/>
      <w:r/>
      <w:bookmarkStart w:id="154" w:name="_Toc513029233"/>
      <w:r/>
      <w:bookmarkStart w:id="155" w:name="_Toc16938549"/>
      <w:r>
        <w:rPr>
          <w:rFonts w:hint="eastAsia"/>
          <w:b w:val="0"/>
          <w:bCs w:val="0"/>
          <w:color w:val="000000" w:themeColor="text1"/>
          <w:sz w:val="24"/>
          <w:szCs w:val="24"/>
          <w:highlight w:val="none"/>
          <w14:textFill>
            <w14:solidFill>
              <w14:schemeClr w14:val="tx1"/>
            </w14:solidFill>
          </w14:textFill>
        </w:rPr>
        <w:t xml:space="preserve">25、对投标文件的初审</w:t>
      </w:r>
      <w:bookmarkEnd w:id="153"/>
      <w:r/>
      <w:bookmarkEnd w:id="154"/>
      <w:r/>
      <w:bookmarkEnd w:id="155"/>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25.1</w:t>
      </w:r>
      <w:r>
        <w:rPr>
          <w:rFonts w:hint="eastAsia" w:ascii="宋体" w:hAnsi="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3 未通过资格审查或符合性审查的投标人，采购人将在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szCs w:val="24"/>
          <w:highlight w:val="none"/>
          <w14:textFill>
            <w14:solidFill>
              <w14:schemeClr w14:val="tx1"/>
            </w14:solidFill>
          </w14:textFill>
        </w:rPr>
        <w:t xml:space="preserve">评标结束后，</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将不再告知未通过资格审查和</w:t>
      </w:r>
      <w:r>
        <w:rPr>
          <w:rFonts w:hint="eastAsia" w:ascii="宋体" w:hAnsi="宋体"/>
          <w:bCs/>
          <w:color w:val="000000" w:themeColor="text1"/>
          <w:sz w:val="24"/>
          <w:szCs w:val="24"/>
          <w:highlight w:val="none"/>
          <w14:textFill>
            <w14:solidFill>
              <w14:schemeClr w14:val="tx1"/>
            </w14:solidFill>
          </w14:textFill>
        </w:rPr>
        <w:t xml:space="preserve">符合性</w:t>
      </w:r>
      <w:r>
        <w:rPr>
          <w:rFonts w:ascii="宋体" w:hAnsi="宋体"/>
          <w:bCs/>
          <w:color w:val="000000" w:themeColor="text1"/>
          <w:sz w:val="24"/>
          <w:szCs w:val="24"/>
          <w:highlight w:val="none"/>
          <w14:textFill>
            <w14:solidFill>
              <w14:schemeClr w14:val="tx1"/>
            </w14:solidFill>
          </w14:textFill>
        </w:rPr>
        <w:t xml:space="preserve">审查的原因。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告知</w:t>
      </w:r>
      <w:r>
        <w:rPr>
          <w:rFonts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调整后的价格应对投标人具有约束力。如果投标人不接受修正后的价格，则其投标将被拒绝。</w:t>
      </w:r>
      <w:r/>
    </w:p>
    <w:p>
      <w:pPr>
        <w:ind w:firstLine="420"/>
        <w:spacing w:line="360" w:lineRule="auto"/>
        <w:rPr>
          <w:rFonts w:ascii="宋体" w:hAnsi="宋体"/>
          <w:color w:val="000000" w:themeColor="text1"/>
          <w:sz w:val="24"/>
          <w:szCs w:val="24"/>
          <w:highlight w:val="none"/>
          <w14:textFill>
            <w14:solidFill>
              <w14:schemeClr w14:val="tx1"/>
            </w14:solidFill>
          </w14:textFill>
        </w:rPr>
      </w:pPr>
      <w:r/>
      <w:bookmarkStart w:id="156" w:name="_Toc513029234"/>
      <w:r/>
      <w:bookmarkStart w:id="157" w:name="_Toc16938550"/>
      <w:r/>
      <w:bookmarkStart w:id="158" w:name="_Toc20823306"/>
      <w:r>
        <w:rPr>
          <w:rFonts w:hint="eastAsia" w:ascii="宋体" w:hAnsi="宋体"/>
          <w:color w:val="000000" w:themeColor="text1"/>
          <w:sz w:val="24"/>
          <w:szCs w:val="24"/>
          <w:highlight w:val="none"/>
          <w14:textFill>
            <w14:solidFill>
              <w14:schemeClr w14:val="tx1"/>
            </w14:solidFill>
          </w14:textFill>
        </w:rPr>
        <w:t xml:space="preserve">25.6投标人在开、评标全过程中应保持通讯畅通，及时登录苏采云系统查阅</w:t>
      </w:r>
      <w:r>
        <w:rPr>
          <w:rFonts w:ascii="宋体" w:hAnsi="宋体"/>
          <w:color w:val="000000" w:themeColor="text1"/>
          <w:sz w:val="24"/>
          <w:szCs w:val="24"/>
          <w:highlight w:val="none"/>
          <w14:textFill>
            <w14:solidFill>
              <w14:schemeClr w14:val="tx1"/>
            </w14:solidFill>
          </w14:textFill>
        </w:rPr>
        <w:t xml:space="preserve">、答复相关</w:t>
      </w:r>
      <w:r>
        <w:rPr>
          <w:rFonts w:hint="eastAsia" w:ascii="宋体" w:hAnsi="宋体"/>
          <w:color w:val="000000" w:themeColor="text1"/>
          <w:sz w:val="24"/>
          <w:szCs w:val="24"/>
          <w:highlight w:val="none"/>
          <w14:textFill>
            <w14:solidFill>
              <w14:schemeClr w14:val="tx1"/>
            </w14:solidFill>
          </w14:textFill>
        </w:rPr>
        <w:t xml:space="preserve">信息</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并安排专人与采购人及评标委员会联系。</w:t>
      </w:r>
      <w:r/>
    </w:p>
    <w:p>
      <w:pPr>
        <w:pStyle w:val="1057"/>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26、</w:t>
      </w:r>
      <w:bookmarkEnd w:id="156"/>
      <w:r/>
      <w:bookmarkEnd w:id="157"/>
      <w:r/>
      <w:bookmarkEnd w:id="158"/>
      <w:r>
        <w:rPr>
          <w:rFonts w:hint="eastAsia"/>
          <w:b w:val="0"/>
          <w:bCs w:val="0"/>
          <w:color w:val="000000" w:themeColor="text1"/>
          <w:sz w:val="24"/>
          <w:szCs w:val="24"/>
          <w:highlight w:val="none"/>
          <w14:textFill>
            <w14:solidFill>
              <w14:schemeClr w14:val="tx1"/>
            </w14:solidFill>
          </w14:textFill>
        </w:rPr>
        <w:t xml:space="preserve">无效投标条款和废标条款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bookmarkStart w:id="159" w:name="_Toc16938551"/>
      <w:r/>
      <w:bookmarkStart w:id="160" w:name="_Toc20823307"/>
      <w:r/>
      <w:bookmarkStart w:id="161" w:name="_Toc513029235"/>
      <w:r>
        <w:rPr>
          <w:rFonts w:hint="eastAsia" w:ascii="宋体" w:hAnsi="宋体"/>
          <w:bCs/>
          <w:color w:val="000000" w:themeColor="text1"/>
          <w:sz w:val="24"/>
          <w:szCs w:val="24"/>
          <w:highlight w:val="none"/>
          <w14:textFill>
            <w14:solidFill>
              <w14:schemeClr w14:val="tx1"/>
            </w14:solidFill>
          </w14:textFill>
        </w:rPr>
        <w:t xml:space="preserve">26.1无效投标条款</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规定的时间内未成功解密电子投标文件的。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 投标人未按照招标文件要求上传电子投标文件的。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26.1.3同一投标人提交两个（含两个）以上不同的投标报价的。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26.1.4投标人不具备招标文件中规定资格要求的。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26.1.5投标人的报价超过了采购预算或最高限价的。</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26.1.6未通过符合性审查的。</w:t>
      </w:r>
      <w:r/>
    </w:p>
    <w:p>
      <w:pPr>
        <w:ind w:firstLine="36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 投标文件含有采购人不能接受的附加条件的。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 投标文件未按照招标文件要求加盖CA</w:t>
      </w:r>
      <w:r>
        <w:rPr>
          <w:rFonts w:ascii="宋体" w:hAnsi="宋体"/>
          <w:bCs/>
          <w:color w:val="000000" w:themeColor="text1"/>
          <w:sz w:val="24"/>
          <w:szCs w:val="24"/>
          <w:highlight w:val="none"/>
          <w14:textFill>
            <w14:solidFill>
              <w14:schemeClr w14:val="tx1"/>
            </w14:solidFill>
          </w14:textFill>
        </w:rPr>
        <w:t xml:space="preserve">电子公章的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26.1.12其他法律、法规及本招标文件规定的属无效投标的情形。</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26.2.3因重大变故，采购任务取消的。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 投标截止时间结束后参加投标的供应商不足三家的处理：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60"/>
        <w:ind w:firstLine="482"/>
        <w:spacing w:before="145" w:after="145" w:line="360" w:lineRule="auto"/>
        <w:rPr>
          <w:color w:val="000000" w:themeColor="text1"/>
          <w:sz w:val="24"/>
          <w:szCs w:val="24"/>
          <w:highlight w:val="none"/>
          <w14:textFill>
            <w14:solidFill>
              <w14:schemeClr w14:val="tx1"/>
            </w14:solidFill>
          </w14:textFill>
        </w:rPr>
      </w:pPr>
      <w:r/>
      <w:bookmarkStart w:id="162" w:name="_Toc120614219"/>
      <w:r>
        <w:rPr>
          <w:rFonts w:hint="eastAsia"/>
          <w:color w:val="000000" w:themeColor="text1"/>
          <w:sz w:val="24"/>
          <w:szCs w:val="24"/>
          <w:highlight w:val="none"/>
          <w14:textFill>
            <w14:solidFill>
              <w14:schemeClr w14:val="tx1"/>
            </w14:solidFill>
          </w14:textFill>
        </w:rPr>
        <w:t xml:space="preserve">六、</w:t>
      </w:r>
      <w:bookmarkEnd w:id="159"/>
      <w:r/>
      <w:bookmarkEnd w:id="160"/>
      <w:r/>
      <w:bookmarkEnd w:id="161"/>
      <w:r>
        <w:rPr>
          <w:rFonts w:hint="eastAsia"/>
          <w:color w:val="000000" w:themeColor="text1"/>
          <w:sz w:val="24"/>
          <w:szCs w:val="24"/>
          <w:highlight w:val="none"/>
          <w14:textFill>
            <w14:solidFill>
              <w14:schemeClr w14:val="tx1"/>
            </w14:solidFill>
          </w14:textFill>
        </w:rPr>
        <w:t xml:space="preserve">定标</w:t>
      </w:r>
      <w:bookmarkEnd w:id="162"/>
      <w:r/>
      <w:r/>
    </w:p>
    <w:p>
      <w:pPr>
        <w:pStyle w:val="1057"/>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63" w:name="_Toc513029238"/>
      <w:r/>
      <w:bookmarkStart w:id="164" w:name="_Toc20823310"/>
      <w:r/>
      <w:bookmarkStart w:id="165" w:name="_Toc16938554"/>
      <w:r>
        <w:rPr>
          <w:rFonts w:hint="eastAsia" w:ascii="黑体" w:hAnsi="宋体" w:cs="Times New Roman"/>
          <w:b w:val="0"/>
          <w:color w:val="000000" w:themeColor="text1"/>
          <w:sz w:val="24"/>
          <w:szCs w:val="24"/>
          <w:highlight w:val="none"/>
          <w14:textFill>
            <w14:solidFill>
              <w14:schemeClr w14:val="tx1"/>
            </w14:solidFill>
          </w14:textFill>
        </w:rPr>
        <w:t xml:space="preserve">27、</w:t>
      </w:r>
      <w:bookmarkEnd w:id="163"/>
      <w:r>
        <w:rPr>
          <w:rFonts w:hint="eastAsia" w:ascii="黑体" w:hAnsi="宋体" w:cs="Times New Roman"/>
          <w:b w:val="0"/>
          <w:color w:val="000000" w:themeColor="text1"/>
          <w:sz w:val="24"/>
          <w:szCs w:val="24"/>
          <w:highlight w:val="none"/>
          <w14:textFill>
            <w14:solidFill>
              <w14:schemeClr w14:val="tx1"/>
            </w14:solidFill>
          </w14:textFill>
        </w:rPr>
        <w:t xml:space="preserve">确定</w:t>
      </w:r>
      <w:bookmarkEnd w:id="164"/>
      <w:r/>
      <w:bookmarkEnd w:id="165"/>
      <w:r>
        <w:rPr>
          <w:rFonts w:hint="eastAsia" w:ascii="黑体" w:hAnsi="宋体" w:cs="Times New Roman"/>
          <w:b w:val="0"/>
          <w:color w:val="000000" w:themeColor="text1"/>
          <w:sz w:val="24"/>
          <w:szCs w:val="24"/>
          <w:highlight w:val="none"/>
          <w14:textFill>
            <w14:solidFill>
              <w14:schemeClr w14:val="tx1"/>
            </w14:solidFill>
          </w14:textFill>
        </w:rPr>
        <w:t xml:space="preserve">中标单位</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27.1中标候选人的选取原则和数量见招标文件第四章规定。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27.2 采购人应根据评委会推荐的中标候选人确定中标人。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 xml:space="preserve">采购人将在“江苏政府采购网”发布中标公告，公告期限为1个工作日。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27.4.2向采购人、采购人行贿或者提供其他不正当利益的。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166" w:name="_Toc200451960"/>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57"/>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28、质疑处理</w:t>
      </w:r>
      <w:bookmarkEnd w:id="16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hAnsi="宋体"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项目需求</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审查结果、</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对与</w:t>
      </w:r>
      <w:r>
        <w:rPr>
          <w:rFonts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有关的</w:t>
      </w:r>
      <w:r>
        <w:rPr>
          <w:rFonts w:ascii="宋体" w:hAnsi="宋体"/>
          <w:color w:val="000000" w:themeColor="text1"/>
          <w:sz w:val="24"/>
          <w:szCs w:val="24"/>
          <w:highlight w:val="none"/>
          <w14:textFill>
            <w14:solidFill>
              <w14:schemeClr w14:val="tx1"/>
            </w14:solidFill>
          </w14:textFill>
        </w:rPr>
        <w:t xml:space="preserve">所有询问、质疑</w:t>
      </w:r>
      <w:r>
        <w:rPr>
          <w:rFonts w:hint="eastAsia" w:ascii="宋体" w:hAnsi="宋体"/>
          <w:color w:val="000000" w:themeColor="text1"/>
          <w:sz w:val="24"/>
          <w:szCs w:val="24"/>
          <w:highlight w:val="none"/>
          <w14:textFill>
            <w14:solidFill>
              <w14:schemeClr w14:val="tx1"/>
            </w14:solidFill>
          </w14:textFill>
        </w:rPr>
        <w:t xml:space="preserve">均</w:t>
      </w:r>
      <w:r>
        <w:rPr>
          <w:rFonts w:ascii="宋体" w:hAnsi="宋体"/>
          <w:color w:val="000000" w:themeColor="text1"/>
          <w:sz w:val="24"/>
          <w:szCs w:val="24"/>
          <w:highlight w:val="none"/>
          <w14:textFill>
            <w14:solidFill>
              <w14:schemeClr w14:val="tx1"/>
            </w14:solidFill>
          </w14:textFill>
        </w:rPr>
        <w:t xml:space="preserve">请向采购人或采购代理机构提出，由</w:t>
      </w:r>
      <w:r>
        <w:rPr>
          <w:rFonts w:hint="eastAsia" w:ascii="宋体" w:hAnsi="宋体"/>
          <w:color w:val="000000" w:themeColor="text1"/>
          <w:sz w:val="24"/>
          <w:szCs w:val="24"/>
          <w:highlight w:val="none"/>
          <w14:textFill>
            <w14:solidFill>
              <w14:schemeClr w14:val="tx1"/>
            </w14:solidFill>
          </w14:textFill>
        </w:rPr>
        <w:t xml:space="preserve">采购代理</w:t>
      </w:r>
      <w:r>
        <w:rPr>
          <w:rFonts w:ascii="宋体" w:hAnsi="宋体"/>
          <w:color w:val="000000" w:themeColor="text1"/>
          <w:sz w:val="24"/>
          <w:szCs w:val="24"/>
          <w:highlight w:val="none"/>
          <w14:textFill>
            <w14:solidFill>
              <w14:schemeClr w14:val="tx1"/>
            </w14:solidFill>
          </w14:textFill>
        </w:rPr>
        <w:t xml:space="preserve">机构负责答复。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 未参加投标活动的供应商或在投标活动中自身权益未受到损害的供应商所提出的质疑。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57"/>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29、中标通知书</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60"/>
        <w:spacing w:before="145" w:after="145" w:line="360" w:lineRule="auto"/>
        <w:rPr>
          <w:color w:val="000000" w:themeColor="text1"/>
          <w:sz w:val="24"/>
          <w:szCs w:val="24"/>
          <w:highlight w:val="none"/>
          <w14:textFill>
            <w14:solidFill>
              <w14:schemeClr w14:val="tx1"/>
            </w14:solidFill>
          </w14:textFill>
        </w:rPr>
      </w:pPr>
      <w:r/>
      <w:bookmarkStart w:id="167" w:name="_Toc513029236"/>
      <w:r/>
      <w:bookmarkStart w:id="168" w:name="_Toc20823308"/>
      <w:r/>
      <w:bookmarkStart w:id="169" w:name="_Toc16938552"/>
      <w:r/>
      <w:bookmarkStart w:id="170" w:name="_Toc120614220"/>
      <w:r>
        <w:rPr>
          <w:rFonts w:hint="eastAsia"/>
          <w:color w:val="000000" w:themeColor="text1"/>
          <w:sz w:val="24"/>
          <w:szCs w:val="24"/>
          <w:highlight w:val="none"/>
          <w14:textFill>
            <w14:solidFill>
              <w14:schemeClr w14:val="tx1"/>
            </w14:solidFill>
          </w14:textFill>
        </w:rPr>
        <w:t xml:space="preserve">七、授予合同</w:t>
      </w:r>
      <w:bookmarkEnd w:id="167"/>
      <w:r/>
      <w:bookmarkEnd w:id="168"/>
      <w:r/>
      <w:bookmarkEnd w:id="169"/>
      <w:r/>
      <w:bookmarkEnd w:id="170"/>
      <w:r/>
      <w:r/>
    </w:p>
    <w:p>
      <w:pPr>
        <w:pStyle w:val="1057"/>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71" w:name="_Toc16938553"/>
      <w:r/>
      <w:bookmarkStart w:id="172" w:name="_Toc20823309"/>
      <w:r/>
      <w:bookmarkStart w:id="173" w:name="_Toc513029237"/>
      <w:r>
        <w:rPr>
          <w:rFonts w:hint="eastAsia" w:ascii="黑体" w:hAnsi="宋体" w:cs="Times New Roman"/>
          <w:b w:val="0"/>
          <w:color w:val="000000" w:themeColor="text1"/>
          <w:sz w:val="24"/>
          <w:szCs w:val="24"/>
          <w:highlight w:val="none"/>
          <w14:textFill>
            <w14:solidFill>
              <w14:schemeClr w14:val="tx1"/>
            </w14:solidFill>
          </w14:textFill>
        </w:rPr>
        <w:t xml:space="preserve">30. 签订合同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w:t>
      </w:r>
      <w:r>
        <w:rPr>
          <w:rFonts w:hint="eastAsia" w:ascii="宋体" w:hAnsi="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1057"/>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31、服务（包含与服务相关的货物）的追加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黑体" w:hAnsi="宋体"/>
          <w:color w:val="000000" w:themeColor="text1"/>
          <w:sz w:val="24"/>
          <w:szCs w:val="24"/>
          <w:highlight w:val="none"/>
          <w14:textFill>
            <w14:solidFill>
              <w14:schemeClr w14:val="tx1"/>
            </w14:solidFill>
          </w14:textFill>
        </w:rPr>
        <w:t xml:space="preserve">32、</w:t>
      </w:r>
      <w:r>
        <w:rPr>
          <w:rFonts w:hint="eastAsia" w:ascii="宋体" w:hAnsi="宋体"/>
          <w:b/>
          <w:bCs/>
          <w:color w:val="000000" w:themeColor="text1"/>
          <w:sz w:val="24"/>
          <w:szCs w:val="20"/>
          <w:highlight w:val="none"/>
          <w:lang w:val="zh-CN"/>
          <w14:textFill>
            <w14:solidFill>
              <w14:schemeClr w14:val="tx1"/>
            </w14:solidFill>
          </w14:textFill>
        </w:rPr>
        <w:t xml:space="preserve">政府采购线上合同信用融资政策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32.1</w:t>
      </w:r>
      <w:r>
        <w:rPr>
          <w:rFonts w:hint="eastAsia" w:ascii="宋体" w:hAnsi="宋体"/>
          <w:color w:val="000000" w:themeColor="text1"/>
          <w:sz w:val="24"/>
          <w:szCs w:val="20"/>
          <w:highlight w:val="none"/>
          <w:lang w:val="zh-CN"/>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000000" w:themeColor="text1"/>
          <w:sz w:val="24"/>
          <w:szCs w:val="20"/>
          <w:highlight w:val="none"/>
          <w14:textFill>
            <w14:solidFill>
              <w14:schemeClr w14:val="tx1"/>
            </w14:solidFill>
          </w14:textFill>
        </w:rPr>
        <w:t xml:space="preserve">江苏</w:t>
      </w:r>
      <w:r>
        <w:rPr>
          <w:rFonts w:hint="eastAsia" w:ascii="宋体" w:hAnsi="宋体"/>
          <w:color w:val="000000" w:themeColor="text1"/>
          <w:sz w:val="24"/>
          <w:szCs w:val="20"/>
          <w:highlight w:val="none"/>
          <w:lang w:val="zh-CN"/>
          <w14:textFill>
            <w14:solidFill>
              <w14:schemeClr w14:val="tx1"/>
            </w14:solidFill>
          </w14:textFill>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32.2进口产品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32.3中小企业、监狱企业及残疾人福利性单位</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32.3.1中小企业定义：</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中小企业是</w:t>
      </w:r>
      <w:r>
        <w:rPr>
          <w:rFonts w:hint="eastAsia" w:ascii="宋体" w:hAnsi="宋体"/>
          <w:color w:val="000000" w:themeColor="text1"/>
          <w:sz w:val="24"/>
          <w:szCs w:val="20"/>
          <w:highlight w:val="none"/>
          <w:lang w:val="zh-CN"/>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32.3.2供应商提供的货物、工程或者服务符合下列情形的，享受中小企业扶持政策：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32.3.2.1在货物采购项目中，货物由中小企业制造，即货物由中小企业生产且使用该中小企业商号或者注册商标；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32.3.2.2在工程采购项目中，工程由中小企业承建，即工程施工单位为中小企业；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32.3.6残疾人福利单位定义：享受政府采购支持政策的残疾人福利性单位应当同时满足以下条件：</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32.3.6.1安置的残疾人占本单位在职职工人数的比例不低于25%（含25%），并且安置的残疾人人数不少于10 人（含10 人）；</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32.3.6.2依法与安置的每位残疾人签订了一年以上（含一年）的劳动合同或服务协议；</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32.3.7本项目是否专门面向中小企业预留采购份额见第一章《招标公告》。</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32.3.8采购标的对应的中小企业划分标准所属行业见第</w:t>
      </w:r>
      <w:r>
        <w:rPr>
          <w:rFonts w:hint="eastAsia" w:ascii="宋体" w:hAnsi="宋体"/>
          <w:color w:val="000000" w:themeColor="text1"/>
          <w:sz w:val="24"/>
          <w:szCs w:val="20"/>
          <w:highlight w:val="none"/>
          <w:lang w:val="en-US" w:eastAsia="zh-CN"/>
          <w14:textFill>
            <w14:solidFill>
              <w14:schemeClr w14:val="tx1"/>
            </w14:solidFill>
          </w14:textFill>
        </w:rPr>
        <w:t xml:space="preserve">三</w:t>
      </w:r>
      <w:r>
        <w:rPr>
          <w:rFonts w:hint="eastAsia" w:ascii="宋体" w:hAnsi="宋体"/>
          <w:color w:val="000000" w:themeColor="text1"/>
          <w:sz w:val="24"/>
          <w:szCs w:val="20"/>
          <w:highlight w:val="none"/>
          <w:lang w:val="zh-CN"/>
          <w14:textFill>
            <w14:solidFill>
              <w14:schemeClr w14:val="tx1"/>
            </w14:solidFill>
          </w14:textFill>
        </w:rPr>
        <w:t xml:space="preserve">章《采购需求》。</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32.3.9小微企业价格评审优惠的政策：见第</w:t>
      </w:r>
      <w:r>
        <w:rPr>
          <w:rFonts w:hint="eastAsia" w:ascii="宋体" w:hAnsi="宋体"/>
          <w:color w:val="000000" w:themeColor="text1"/>
          <w:sz w:val="24"/>
          <w:szCs w:val="20"/>
          <w:highlight w:val="none"/>
          <w:lang w:val="en-US" w:eastAsia="zh-CN"/>
          <w14:textFill>
            <w14:solidFill>
              <w14:schemeClr w14:val="tx1"/>
            </w14:solidFill>
          </w14:textFill>
        </w:rPr>
        <w:t xml:space="preserve">四</w:t>
      </w:r>
      <w:r>
        <w:rPr>
          <w:rFonts w:hint="eastAsia" w:ascii="宋体" w:hAnsi="宋体"/>
          <w:color w:val="000000" w:themeColor="text1"/>
          <w:sz w:val="24"/>
          <w:szCs w:val="20"/>
          <w:highlight w:val="none"/>
          <w:lang w:val="zh-CN"/>
          <w14:textFill>
            <w14:solidFill>
              <w14:schemeClr w14:val="tx1"/>
            </w14:solidFill>
          </w14:textFill>
        </w:rPr>
        <w:t xml:space="preserve">章《评标方法和评标标准》。</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32.4政府采购节能产品、环境标志产品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32.4.1严格执行政府采购关于支持</w:t>
      </w:r>
      <w:r>
        <w:rPr>
          <w:rFonts w:hint="eastAsia" w:ascii="宋体" w:hAnsi="宋体"/>
          <w:color w:val="000000" w:themeColor="text1"/>
          <w:sz w:val="24"/>
          <w:szCs w:val="20"/>
          <w:highlight w:val="none"/>
          <w:lang w:val="zh-CN"/>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32.5绿色包装</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32.6政府采购创新产品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32.7绿色数据中心政策 </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olor w:val="000000" w:themeColor="text1"/>
          <w:sz w:val="24"/>
          <w:szCs w:val="20"/>
          <w:highlight w:val="none"/>
          <w:lang w:val="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32.8履约保证金政策</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确需收取履约保证金的，履约保证金的缴纳形式：</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tabs>
          <w:tab w:val="left" w:pos="900" w:leader="none"/>
        </w:tabs>
        <w:rPr>
          <w:rFonts w:hint="eastAsia"/>
          <w:b/>
          <w:color w:val="000000" w:themeColor="text1"/>
          <w:sz w:val="44"/>
          <w:szCs w:val="44"/>
          <w:highlight w:val="none"/>
          <w:lang w:val="en-US" w:eastAsia="zh-CN"/>
          <w14:textFill>
            <w14:solidFill>
              <w14:schemeClr w14:val="tx1"/>
            </w14:solidFill>
          </w14:textFill>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jc w:val="center"/>
        <w:pageBreakBefore w:val="0"/>
        <w:spacing w:line="520" w:lineRule="exact"/>
        <w:rPr>
          <w:rFonts w:hint="eastAsia" w:ascii="宋体" w:hAnsi="宋体" w:eastAsia="宋体" w:cs="宋体"/>
          <w:color w:val="auto"/>
          <w:sz w:val="28"/>
          <w:szCs w:val="36"/>
          <w:highlight w:val="none"/>
        </w:rPr>
        <w:outlineLvl w:val="0"/>
      </w:pPr>
      <w:r>
        <w:rPr>
          <w:rFonts w:hint="eastAsia"/>
          <w:b/>
          <w:color w:val="000000" w:themeColor="text1"/>
          <w:sz w:val="44"/>
          <w:szCs w:val="44"/>
          <w:highlight w:val="none"/>
          <w:lang w:val="en-US" w:eastAsia="zh-CN"/>
          <w14:textFill>
            <w14:solidFill>
              <w14:schemeClr w14:val="tx1"/>
            </w14:solidFill>
          </w14:textFill>
        </w:rPr>
        <w:t xml:space="preserve">第三章 采购</w:t>
      </w:r>
      <w:r>
        <w:rPr>
          <w:rFonts w:hint="eastAsia"/>
          <w:b/>
          <w:color w:val="000000" w:themeColor="text1"/>
          <w:sz w:val="44"/>
          <w:szCs w:val="44"/>
          <w:highlight w:val="none"/>
          <w14:textFill>
            <w14:solidFill>
              <w14:schemeClr w14:val="tx1"/>
            </w14:solidFill>
          </w14:textFill>
        </w:rPr>
        <w:t xml:space="preserve">需求</w:t>
      </w:r>
      <w:bookmarkEnd w:id="32"/>
      <w:r/>
      <w:bookmarkEnd w:id="33"/>
      <w:r/>
      <w:bookmarkEnd w:id="34"/>
      <w:r/>
      <w:bookmarkEnd w:id="35"/>
      <w:r/>
      <w:bookmarkEnd w:id="36"/>
      <w:r/>
      <w:bookmarkStart w:id="174" w:name="_Toc29632"/>
      <w:r/>
      <w:bookmarkStart w:id="175" w:name="_Toc49090575"/>
      <w:r/>
      <w:bookmarkStart w:id="176" w:name="_Toc26554093"/>
      <w:r/>
      <w:bookmarkStart w:id="177" w:name="_Toc120614281"/>
      <w:r/>
      <w:bookmarkStart w:id="178" w:name="_Toc479757211"/>
      <w:r/>
      <w:bookmarkStart w:id="179" w:name="_Toc462564139"/>
      <w:r/>
      <w:r/>
    </w:p>
    <w:p>
      <w:pPr>
        <w:ind w:firstLine="482"/>
        <w:jc w:val="left"/>
        <w:keepLines w:val="0"/>
        <w:keepNext w:val="0"/>
        <w:pageBreakBefore w:val="0"/>
        <w:spacing w:line="336" w:lineRule="auto"/>
        <w:widowControl/>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szCs w:val="24"/>
          <w:highlight w:val="none"/>
        </w:rPr>
        <w:t xml:space="preserve">采购标的对应的中小企业划分标准所属行业一览表</w:t>
      </w:r>
      <w:r/>
    </w:p>
    <w:tbl>
      <w:tblPr>
        <w:tblStyle w:val="777"/>
        <w:tblW w:w="9326"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30"/>
        <w:gridCol w:w="4951"/>
        <w:gridCol w:w="3545"/>
      </w:tblGrid>
      <w:tr>
        <w:trPr>
          <w:jc w:val="center"/>
          <w:tblCellSpacing w:w="0" w:type="dxa"/>
          <w:trHeight w:val="469"/>
        </w:trPr>
        <w:tc>
          <w:tcPr>
            <w:shd w:val="clear" w:color="auto" w:fill="auto"/>
            <w:tcW w:w="830" w:type="dxa"/>
            <w:vAlign w:val="center"/>
            <w:textDirection w:val="lrTb"/>
            <w:noWrap w:val="false"/>
          </w:tcPr>
          <w:p>
            <w:pPr>
              <w:pStyle w:val="813"/>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序号</w:t>
            </w:r>
            <w:r/>
          </w:p>
        </w:tc>
        <w:tc>
          <w:tcPr>
            <w:shd w:val="clear" w:color="auto" w:fill="auto"/>
            <w:tcW w:w="4951" w:type="dxa"/>
            <w:vAlign w:val="center"/>
            <w:textDirection w:val="lrTb"/>
            <w:noWrap w:val="false"/>
          </w:tcPr>
          <w:p>
            <w:pPr>
              <w:pStyle w:val="813"/>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采购标的</w:t>
            </w:r>
            <w:r/>
          </w:p>
        </w:tc>
        <w:tc>
          <w:tcPr>
            <w:shd w:val="clear" w:color="auto" w:fill="auto"/>
            <w:tcW w:w="3545" w:type="dxa"/>
            <w:vAlign w:val="center"/>
            <w:textDirection w:val="lrTb"/>
            <w:noWrap w:val="false"/>
          </w:tcPr>
          <w:p>
            <w:pPr>
              <w:pStyle w:val="813"/>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对应中小企业划分标准所属行业</w:t>
            </w:r>
            <w:r/>
          </w:p>
        </w:tc>
      </w:tr>
      <w:tr>
        <w:trPr>
          <w:jc w:val="center"/>
          <w:tblCellSpacing w:w="0" w:type="dxa"/>
          <w:trHeight w:val="469"/>
        </w:trPr>
        <w:tc>
          <w:tcPr>
            <w:shd w:val="clear" w:color="auto" w:fill="auto"/>
            <w:tcW w:w="830" w:type="dxa"/>
            <w:vAlign w:val="center"/>
            <w:textDirection w:val="lrTb"/>
            <w:noWrap w:val="false"/>
          </w:tcPr>
          <w:p>
            <w:pPr>
              <w:pStyle w:val="813"/>
              <w:jc w:val="center"/>
              <w:spacing w:beforeAutospacing="0" w:afterAutospacing="0"/>
              <w:rPr>
                <w:rFonts w:hint="eastAsia" w:ascii="宋体" w:hAnsi="宋体" w:cs="宋体"/>
                <w:sz w:val="21"/>
                <w:szCs w:val="20"/>
                <w:highlight w:val="none"/>
              </w:rPr>
            </w:pPr>
            <w:r>
              <w:rPr>
                <w:rFonts w:hint="eastAsia" w:ascii="宋体" w:hAnsi="宋体" w:cs="宋体"/>
                <w:sz w:val="21"/>
                <w:szCs w:val="20"/>
                <w:highlight w:val="none"/>
              </w:rPr>
              <w:t xml:space="preserve">1</w:t>
            </w:r>
            <w:r/>
          </w:p>
        </w:tc>
        <w:tc>
          <w:tcPr>
            <w:shd w:val="clear" w:color="auto" w:fill="auto"/>
            <w:tcW w:w="4951" w:type="dxa"/>
            <w:vAlign w:val="center"/>
            <w:textDirection w:val="lrTb"/>
            <w:noWrap w:val="false"/>
          </w:tcPr>
          <w:p>
            <w:pPr>
              <w:pStyle w:val="813"/>
              <w:jc w:val="center"/>
              <w:spacing w:beforeAutospacing="0" w:afterAutospacing="0"/>
              <w:rPr>
                <w:rFonts w:hint="eastAsia" w:ascii="宋体" w:hAnsi="宋体" w:cs="宋体"/>
                <w:sz w:val="21"/>
                <w:szCs w:val="20"/>
                <w:highlight w:val="none"/>
                <w:lang w:eastAsia="zh-CN"/>
              </w:rPr>
            </w:pPr>
            <w:r>
              <w:rPr>
                <w:rFonts w:hint="eastAsia" w:ascii="宋体" w:hAnsi="宋体" w:cs="宋体"/>
                <w:sz w:val="21"/>
                <w:szCs w:val="20"/>
                <w:highlight w:val="none"/>
                <w:lang w:eastAsia="zh-CN"/>
              </w:rPr>
              <w:t xml:space="preserve">盐城市大丰人民医院血液科层流病房改造及设备采购项目</w:t>
            </w:r>
            <w:r/>
          </w:p>
        </w:tc>
        <w:tc>
          <w:tcPr>
            <w:shd w:val="clear" w:color="auto" w:fill="auto"/>
            <w:tcW w:w="3545" w:type="dxa"/>
            <w:vAlign w:val="center"/>
            <w:textDirection w:val="lrTb"/>
            <w:noWrap w:val="false"/>
          </w:tcPr>
          <w:p>
            <w:pPr>
              <w:pStyle w:val="813"/>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其他未列明行业</w:t>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移植洁净层流病房</w:t>
      </w:r>
      <w:r>
        <w:rPr>
          <w:rFonts w:hint="eastAsia" w:ascii="宋体" w:hAnsi="宋体" w:eastAsia="宋体" w:cs="宋体"/>
          <w:b/>
          <w:bCs/>
          <w:color w:val="auto"/>
          <w:sz w:val="24"/>
          <w:szCs w:val="24"/>
          <w:highlight w:val="none"/>
          <w:lang w:eastAsia="zh-CN"/>
        </w:rPr>
        <w:t xml:space="preserve">总体要求（</w:t>
      </w:r>
      <w:r>
        <w:rPr>
          <w:rFonts w:hint="eastAsia" w:ascii="宋体" w:hAnsi="宋体" w:eastAsia="宋体" w:cs="宋体"/>
          <w:b/>
          <w:bCs/>
          <w:color w:val="auto"/>
          <w:sz w:val="24"/>
          <w:szCs w:val="24"/>
          <w:highlight w:val="none"/>
          <w:lang w:val="en-US" w:eastAsia="zh-CN"/>
        </w:rPr>
        <w:t xml:space="preserve">本项内容必须响应，不参与技术参数评分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需提供承诺函，格式自拟</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lang w:val="en-US" w:eastAsia="zh-CN"/>
        </w:rPr>
        <w:t xml:space="preserve">利用</w:t>
      </w:r>
      <w:r>
        <w:rPr>
          <w:rFonts w:hint="default" w:ascii="宋体" w:hAnsi="宋体" w:eastAsia="宋体" w:cs="宋体"/>
          <w:color w:val="auto"/>
          <w:sz w:val="24"/>
          <w:szCs w:val="24"/>
          <w:highlight w:val="none"/>
          <w:lang w:eastAsia="zh-CN"/>
        </w:rPr>
        <w:t xml:space="preserve">原有病房</w:t>
      </w:r>
      <w:r>
        <w:rPr>
          <w:rFonts w:hint="eastAsia" w:ascii="宋体" w:hAnsi="宋体" w:eastAsia="宋体" w:cs="宋体"/>
          <w:color w:val="auto"/>
          <w:sz w:val="24"/>
          <w:szCs w:val="24"/>
          <w:highlight w:val="none"/>
          <w:lang w:val="en-US" w:eastAsia="zh-CN"/>
        </w:rPr>
        <w:t xml:space="preserve">走廊末端2间普通病房，</w:t>
      </w:r>
      <w:r>
        <w:rPr>
          <w:rFonts w:hint="default" w:ascii="宋体" w:hAnsi="宋体" w:eastAsia="宋体" w:cs="宋体"/>
          <w:color w:val="auto"/>
          <w:sz w:val="24"/>
          <w:szCs w:val="24"/>
          <w:highlight w:val="none"/>
          <w:lang w:eastAsia="zh-CN"/>
        </w:rPr>
        <w:t xml:space="preserve">改</w:t>
      </w:r>
      <w:r>
        <w:rPr>
          <w:rFonts w:hint="eastAsia" w:ascii="宋体" w:hAnsi="宋体" w:eastAsia="宋体" w:cs="宋体"/>
          <w:color w:val="auto"/>
          <w:sz w:val="24"/>
          <w:szCs w:val="24"/>
          <w:highlight w:val="none"/>
          <w:lang w:val="en-US" w:eastAsia="zh-CN"/>
        </w:rPr>
        <w:t xml:space="preserve">设置移植仓1间</w:t>
      </w:r>
      <w:r>
        <w:rPr>
          <w:rFonts w:hint="default" w:ascii="宋体" w:hAnsi="宋体" w:eastAsia="宋体" w:cs="宋体"/>
          <w:color w:val="auto"/>
          <w:sz w:val="24"/>
          <w:szCs w:val="24"/>
          <w:highlight w:val="none"/>
          <w:lang w:eastAsia="zh-CN"/>
        </w:rPr>
        <w:t xml:space="preserve">（洁净度百级）</w:t>
      </w:r>
      <w:r>
        <w:rPr>
          <w:rFonts w:hint="eastAsia" w:ascii="宋体" w:hAnsi="宋体" w:eastAsia="宋体" w:cs="宋体"/>
          <w:color w:val="auto"/>
          <w:sz w:val="24"/>
          <w:szCs w:val="24"/>
          <w:highlight w:val="none"/>
          <w:lang w:val="en-US" w:eastAsia="zh-CN"/>
        </w:rPr>
        <w:t xml:space="preserve">，过渡病房1间</w:t>
      </w:r>
      <w:r>
        <w:rPr>
          <w:rFonts w:hint="default" w:ascii="宋体" w:hAnsi="宋体" w:eastAsia="宋体" w:cs="宋体"/>
          <w:color w:val="auto"/>
          <w:sz w:val="24"/>
          <w:szCs w:val="24"/>
          <w:highlight w:val="none"/>
          <w:lang w:eastAsia="zh-CN"/>
        </w:rPr>
        <w:t xml:space="preserve">（洁净度千级），过渡走廊（洁净度万级）。实现造血干细胞移植环境要求。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备注：不修改原有病房水路，消防管路</w:t>
      </w:r>
      <w:r>
        <w:rPr>
          <w:rFonts w:hint="eastAsia" w:ascii="宋体" w:hAnsi="宋体" w:eastAsia="宋体" w:cs="宋体"/>
          <w:color w:val="auto"/>
          <w:sz w:val="24"/>
          <w:szCs w:val="24"/>
          <w:highlight w:val="none"/>
          <w:lang w:eastAsia="zh-CN"/>
        </w:rPr>
        <w:t xml:space="preserve">，对</w:t>
      </w:r>
      <w:r>
        <w:rPr>
          <w:rFonts w:hint="default" w:ascii="宋体" w:hAnsi="宋体" w:eastAsia="宋体" w:cs="宋体"/>
          <w:color w:val="auto"/>
          <w:sz w:val="24"/>
          <w:szCs w:val="24"/>
          <w:highlight w:val="none"/>
          <w:lang w:eastAsia="zh-CN"/>
        </w:rPr>
        <w:t xml:space="preserve">原有病房门改为钢制净化门。</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1、移植病房</w:t>
      </w:r>
      <w:r>
        <w:rPr>
          <w:rFonts w:hint="default" w:ascii="宋体" w:hAnsi="宋体" w:eastAsia="宋体" w:cs="宋体"/>
          <w:color w:val="auto"/>
          <w:sz w:val="24"/>
          <w:szCs w:val="24"/>
          <w:highlight w:val="none"/>
          <w:lang w:eastAsia="zh-CN"/>
        </w:rPr>
        <w:t xml:space="preserve">拆除吊顶，墙面装饰等，改使用手术室级别材料</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中空玻镁板净化板进行内部装饰</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eastAsia="zh-CN"/>
        </w:rPr>
        <w:t xml:space="preserve">将</w:t>
      </w:r>
      <w:r>
        <w:rPr>
          <w:rFonts w:hint="eastAsia" w:ascii="宋体" w:hAnsi="宋体" w:eastAsia="宋体" w:cs="宋体"/>
          <w:color w:val="auto"/>
          <w:sz w:val="24"/>
          <w:szCs w:val="24"/>
          <w:highlight w:val="none"/>
          <w:lang w:val="en-US" w:eastAsia="zh-CN"/>
        </w:rPr>
        <w:t xml:space="preserve">原有一间病房分隔为2区3区，洁物与污物出入利用隔断的不同传递</w:t>
      </w:r>
      <w:r>
        <w:rPr>
          <w:rFonts w:hint="default" w:ascii="宋体" w:hAnsi="宋体" w:eastAsia="宋体" w:cs="宋体"/>
          <w:color w:val="auto"/>
          <w:sz w:val="24"/>
          <w:szCs w:val="24"/>
          <w:highlight w:val="none"/>
          <w:lang w:eastAsia="zh-CN"/>
        </w:rPr>
        <w:t xml:space="preserve">窗</w:t>
      </w:r>
      <w:r>
        <w:rPr>
          <w:rFonts w:hint="eastAsia" w:ascii="宋体" w:hAnsi="宋体" w:eastAsia="宋体" w:cs="宋体"/>
          <w:color w:val="auto"/>
          <w:sz w:val="24"/>
          <w:szCs w:val="24"/>
          <w:highlight w:val="none"/>
          <w:lang w:val="en-US" w:eastAsia="zh-CN"/>
        </w:rPr>
        <w:t xml:space="preserve">传送，隔断上设置</w:t>
      </w:r>
      <w:r>
        <w:rPr>
          <w:rFonts w:hint="default" w:ascii="宋体" w:hAnsi="宋体" w:eastAsia="宋体" w:cs="宋体"/>
          <w:color w:val="auto"/>
          <w:sz w:val="24"/>
          <w:szCs w:val="24"/>
          <w:highlight w:val="none"/>
          <w:lang w:eastAsia="zh-CN"/>
        </w:rPr>
        <w:t xml:space="preserve">观察输液窗</w:t>
      </w:r>
      <w:r>
        <w:rPr>
          <w:rFonts w:hint="eastAsia" w:ascii="宋体" w:hAnsi="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移植病房配置（净罩内）：</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等离子体空气消毒机洁净罩1套；</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净罩内体积约9m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，通过空气循环，可使病人24小时处于微生物百级层流环境。半隔离式的非建筑层流洁净舱设置。</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过渡病房配置：</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eastAsia="zh-CN"/>
        </w:rPr>
        <w:t xml:space="preserve">拆除</w:t>
      </w:r>
      <w:r>
        <w:rPr>
          <w:rFonts w:hint="eastAsia" w:ascii="宋体" w:hAnsi="宋体" w:eastAsia="宋体" w:cs="宋体"/>
          <w:color w:val="auto"/>
          <w:sz w:val="24"/>
          <w:szCs w:val="24"/>
          <w:highlight w:val="none"/>
          <w:lang w:eastAsia="zh-CN"/>
        </w:rPr>
        <w:t xml:space="preserve">原</w:t>
      </w:r>
      <w:r>
        <w:rPr>
          <w:rFonts w:hint="default" w:ascii="宋体" w:hAnsi="宋体" w:eastAsia="宋体" w:cs="宋体"/>
          <w:color w:val="auto"/>
          <w:sz w:val="24"/>
          <w:szCs w:val="24"/>
          <w:highlight w:val="none"/>
          <w:lang w:eastAsia="zh-CN"/>
        </w:rPr>
        <w:t xml:space="preserve">吊顶</w:t>
      </w:r>
      <w:r>
        <w:rPr>
          <w:rFonts w:hint="eastAsia" w:ascii="宋体" w:hAnsi="宋体" w:eastAsia="宋体" w:cs="宋体"/>
          <w:color w:val="auto"/>
          <w:sz w:val="24"/>
          <w:szCs w:val="24"/>
          <w:highlight w:val="none"/>
          <w:lang w:eastAsia="zh-CN"/>
        </w:rPr>
        <w:t xml:space="preserve">并</w:t>
      </w:r>
      <w:r>
        <w:rPr>
          <w:rFonts w:hint="default" w:ascii="宋体" w:hAnsi="宋体" w:eastAsia="宋体" w:cs="宋体"/>
          <w:color w:val="auto"/>
          <w:sz w:val="24"/>
          <w:szCs w:val="24"/>
          <w:highlight w:val="none"/>
          <w:lang w:eastAsia="zh-CN"/>
        </w:rPr>
        <w:t xml:space="preserve">采用中空玻镁板</w:t>
      </w:r>
      <w:r>
        <w:rPr>
          <w:rFonts w:hint="eastAsia" w:ascii="宋体" w:hAnsi="宋体" w:eastAsia="宋体" w:cs="宋体"/>
          <w:color w:val="auto"/>
          <w:sz w:val="24"/>
          <w:szCs w:val="24"/>
          <w:highlight w:val="none"/>
          <w:lang w:eastAsia="zh-CN"/>
        </w:rPr>
        <w:t xml:space="preserve">进行</w:t>
      </w:r>
      <w:r>
        <w:rPr>
          <w:rFonts w:hint="default" w:ascii="宋体" w:hAnsi="宋体" w:eastAsia="宋体" w:cs="宋体"/>
          <w:color w:val="auto"/>
          <w:sz w:val="24"/>
          <w:szCs w:val="24"/>
          <w:highlight w:val="none"/>
          <w:lang w:eastAsia="zh-CN"/>
        </w:rPr>
        <w:t xml:space="preserve">吊顶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等离子空气消毒机1台；通过空气循环，可使环境24小时处于微生物千级层流；</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缓冲区配置（移植病房内）：</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等离子空气消毒机1台；通过空气循环，可使环境24小时处于微生物千级层流；</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eastAsia="zh-CN" w:bidi="ar-SA"/>
        </w:rPr>
        <w:t xml:space="preserve">过渡病房</w:t>
      </w:r>
      <w:r>
        <w:rPr>
          <w:rFonts w:hint="eastAsia" w:ascii="宋体" w:hAnsi="宋体" w:eastAsia="宋体" w:cs="宋体"/>
          <w:color w:val="auto"/>
          <w:sz w:val="24"/>
          <w:szCs w:val="24"/>
          <w:highlight w:val="none"/>
          <w:lang w:val="en-US" w:eastAsia="zh-CN"/>
        </w:rPr>
        <w:t xml:space="preserve">房间墙面保留原有护墙板，护墙板以上区域用白色水性乳胶漆粉刷；</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6、房间空调采用</w:t>
      </w:r>
      <w:r>
        <w:rPr>
          <w:rFonts w:hint="default" w:ascii="宋体" w:hAnsi="宋体" w:eastAsia="宋体" w:cs="宋体"/>
          <w:color w:val="auto"/>
          <w:sz w:val="24"/>
          <w:szCs w:val="24"/>
          <w:highlight w:val="none"/>
          <w:lang w:eastAsia="zh-CN"/>
        </w:rPr>
        <w:t xml:space="preserve">独立的空调机组实现整体区域恒温，恒湿控制</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eastAsia="zh-CN"/>
        </w:rPr>
        <w:t xml:space="preserve">采用新风机组各区域送风，过渡病房和移植舱新风洁净度到千级。缓冲区域，走道区域新风洁净度到万级。</w:t>
      </w:r>
      <w:r/>
    </w:p>
    <w:p>
      <w:pPr>
        <w:numPr>
          <w:ilvl w:val="0"/>
          <w:numId w:val="0"/>
        </w:num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7、在公共走廊设置1套风淋系统</w:t>
      </w:r>
      <w:r>
        <w:rPr>
          <w:rFonts w:hint="default"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eastAsia="zh-CN"/>
        </w:rPr>
        <w:t xml:space="preserve">全区域增加摄像监控系统。硬盘录像和监控实时显示屏设在护士站，方便及时对于移植病房的管理。</w:t>
      </w:r>
      <w:r/>
    </w:p>
    <w:p>
      <w:pPr>
        <w:numPr>
          <w:ilvl w:val="0"/>
          <w:numId w:val="0"/>
        </w:num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9、免费维保期内设备维保及运行耗材均免费提供，质保期后4台医疗设备每年维保费（含耗材）总价不高于10000元。</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移植洁净层流病房-技术</w:t>
      </w:r>
      <w:r>
        <w:rPr>
          <w:rFonts w:hint="eastAsia" w:ascii="宋体" w:hAnsi="宋体" w:eastAsia="宋体" w:cs="宋体"/>
          <w:b/>
          <w:bCs/>
          <w:color w:val="auto"/>
          <w:sz w:val="24"/>
          <w:szCs w:val="24"/>
          <w:highlight w:val="none"/>
          <w:lang w:eastAsia="zh-CN"/>
        </w:rPr>
        <w:t xml:space="preserve">要求</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由移动式等离子体空气消毒机和</w:t>
      </w:r>
      <w:r>
        <w:rPr>
          <w:rFonts w:hint="eastAsia" w:ascii="宋体" w:hAnsi="宋体" w:eastAsia="宋体" w:cs="宋体"/>
          <w:color w:val="auto"/>
          <w:sz w:val="24"/>
          <w:szCs w:val="24"/>
          <w:highlight w:val="none"/>
          <w:lang w:val="en-US" w:eastAsia="zh-CN"/>
        </w:rPr>
        <w:t xml:space="preserve">洁净罩</w:t>
      </w:r>
      <w:r>
        <w:rPr>
          <w:rFonts w:hint="eastAsia" w:ascii="宋体" w:hAnsi="宋体" w:eastAsia="宋体" w:cs="宋体"/>
          <w:color w:val="auto"/>
          <w:sz w:val="24"/>
          <w:szCs w:val="24"/>
          <w:highlight w:val="none"/>
        </w:rPr>
        <w:t xml:space="preserve">组合形成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满足造血干细胞移植技术要求。</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移动式等离子体空气消毒机和</w:t>
      </w:r>
      <w:r>
        <w:rPr>
          <w:rFonts w:hint="eastAsia" w:ascii="宋体" w:hAnsi="宋体" w:eastAsia="宋体" w:cs="宋体"/>
          <w:b/>
          <w:bCs/>
          <w:color w:val="auto"/>
          <w:sz w:val="24"/>
          <w:szCs w:val="24"/>
          <w:highlight w:val="none"/>
          <w:lang w:val="en-US" w:eastAsia="zh-CN"/>
        </w:rPr>
        <w:t xml:space="preserve">洁净罩</w:t>
      </w:r>
      <w:r>
        <w:rPr>
          <w:rFonts w:hint="eastAsia" w:ascii="宋体" w:hAnsi="宋体" w:eastAsia="宋体" w:cs="宋体"/>
          <w:b/>
          <w:bCs/>
          <w:color w:val="auto"/>
          <w:sz w:val="24"/>
          <w:szCs w:val="24"/>
          <w:highlight w:val="none"/>
        </w:rPr>
        <w:t xml:space="preserve">组合使用模式下，可以实现</w:t>
      </w:r>
      <w:r>
        <w:rPr>
          <w:rFonts w:hint="eastAsia" w:ascii="宋体" w:hAnsi="宋体" w:eastAsia="宋体" w:cs="宋体"/>
          <w:b/>
          <w:bCs/>
          <w:color w:val="auto"/>
          <w:sz w:val="24"/>
          <w:szCs w:val="24"/>
          <w:highlight w:val="none"/>
          <w:lang w:val="en-US" w:eastAsia="zh-CN"/>
        </w:rPr>
        <w:t xml:space="preserve">洁净罩内</w:t>
      </w:r>
      <w:r>
        <w:rPr>
          <w:rFonts w:hint="eastAsia" w:ascii="宋体" w:hAnsi="宋体" w:eastAsia="宋体" w:cs="宋体"/>
          <w:b/>
          <w:bCs/>
          <w:color w:val="auto"/>
          <w:sz w:val="24"/>
          <w:szCs w:val="24"/>
          <w:highlight w:val="none"/>
        </w:rPr>
        <w:t xml:space="preserve">的空气洁净度达到百级。（提供第三方检测机构出具的检测报告扫描件加盖</w:t>
      </w:r>
      <w:r>
        <w:rPr>
          <w:rFonts w:hint="eastAsia" w:ascii="宋体" w:hAnsi="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移动式等离子体空气消毒机提供消毒产品省级卫生安全评价报告及消毒产品生产企业卫生许可证。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移动式等离子体空气消毒机可调节风量不少于3档</w:t>
      </w:r>
      <w:r>
        <w:rPr>
          <w:rFonts w:hint="eastAsia" w:ascii="宋体" w:hAnsi="宋体" w:eastAsia="宋体" w:cs="宋体"/>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移动式等离子体空气消毒机运行2h，对试验舱的病毒杀灭率≥99.9%；（提供第三方检测机构出具的检测报告扫描件加盖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移动式等离子体空气消毒机运行2h，对实验舱的细菌杀灭率≥99.9%；（提供第三方检测机构出具的检测报告扫描件加盖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移动式等离子体空气消毒机运行2h，对实验舱的真菌杀灭率≥99.9%；（提供第三方检测机构出具的检测报告扫描件加盖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公章佐证）</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rPr>
        <w:t xml:space="preserve">移动式等离子体空气消毒机运行120min，对90m³密闭房间空气中自然菌的平均消亡率≥9</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%；（提供具有CMA标识的第三方检测机构出具的检测报告扫描件加盖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移动式等离子体空气消毒机运行2h，对密闭的20m³试验舱中的的白色葡萄球菌杀灭率≥99.9%；（提供第三方检测机构出具的检测报告扫描件加盖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.移动式等离子体空气消毒机正常开机作用 60min，对30m³试验舱中的鼠伤寒沙门氏菌的杀灭率≥99.9%；（提供第三方检测机构出具的检测报告扫描件加盖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.移动式等离子体空气消毒机正常开机作用 60min，对30m³试验舱中的粪链球菌的杀灭率≥99.9%；（提供第三方检测机构出具的检测报告扫描件加盖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公章佐证）</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rPr>
        <w:t xml:space="preserve">移动式等离子体空气消毒机运行1h，空气中平均臭氧浓度</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0.</w:t>
      </w:r>
      <w:r>
        <w:rPr>
          <w:rFonts w:hint="eastAsia" w:ascii="宋体" w:hAnsi="宋体" w:eastAsia="宋体" w:cs="宋体"/>
          <w:b/>
          <w:bCs/>
          <w:color w:val="auto"/>
          <w:sz w:val="24"/>
          <w:szCs w:val="24"/>
          <w:highlight w:val="none"/>
          <w:lang w:val="en-US" w:eastAsia="zh-CN"/>
        </w:rPr>
        <w:t xml:space="preserve">000</w:t>
      </w:r>
      <w:r>
        <w:rPr>
          <w:rFonts w:hint="eastAsia" w:ascii="宋体" w:hAnsi="宋体" w:eastAsia="宋体" w:cs="宋体"/>
          <w:b/>
          <w:bCs/>
          <w:color w:val="auto"/>
          <w:sz w:val="24"/>
          <w:szCs w:val="24"/>
          <w:highlight w:val="none"/>
        </w:rPr>
        <w:t xml:space="preserve">1mg/m³；（提供具有CMA标识的第三方检测机构出具的检测报告扫描件加盖投标人公章佐证）</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移动式等离子体空气消毒机等离子体密度</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vertAlign w:val="superscript"/>
        </w:rPr>
        <w:t xml:space="preserve">19</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b/>
          <w:bCs/>
          <w:color w:val="auto"/>
          <w:sz w:val="24"/>
          <w:szCs w:val="24"/>
          <w:highlight w:val="none"/>
        </w:rPr>
        <w:t xml:space="preserve">；（提供第三方机构检测报告扫描件加盖投标人公章佐证）；</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移动式等离子体空气消毒机出现性能下降或故障有自动警报功能，并显示故障识别代码，警报识别代码数量≥</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个；</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14.</w:t>
      </w:r>
      <w:r>
        <w:rPr>
          <w:rFonts w:hint="eastAsia" w:ascii="宋体" w:hAnsi="宋体" w:eastAsia="宋体" w:cs="宋体"/>
          <w:b/>
          <w:bCs/>
          <w:color w:val="auto"/>
          <w:sz w:val="24"/>
          <w:szCs w:val="24"/>
          <w:highlight w:val="none"/>
        </w:rPr>
        <w:t xml:space="preserve">移动式等离子体空气消毒机具备空气粒子数传感器，实时检测环境空气粒子数并显示在主机屏幕上；（提供主机屏幕照片加盖投标人公章佐证）</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15.</w:t>
      </w:r>
      <w:r>
        <w:rPr>
          <w:rFonts w:hint="eastAsia" w:ascii="宋体" w:hAnsi="宋体" w:eastAsia="宋体" w:cs="宋体"/>
          <w:b w:val="0"/>
          <w:bCs w:val="0"/>
          <w:color w:val="auto"/>
          <w:sz w:val="24"/>
          <w:szCs w:val="24"/>
          <w:highlight w:val="none"/>
        </w:rPr>
        <w:t xml:space="preserve">移动式等离子体空气消毒机具备空气温湿度检测：实时检测空气温湿度并显示在主机屏幕上；（提供主机屏幕照片加盖投标人公章佐证）</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16.洁净罩的床头、床尾为高透光性板材，左右为软帘；软帘（如抗菌PVC、TPU、PP、PET）、板材（如亚克力、玻璃、PC、PP）均需具有抗菌性、易消毒性（每天均需消毒）、易操作性；(提供洁净罩实物照片加盖投标人公章佐证)</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移动式等离子体空气消毒机和洁净罩采用软管分体式布局。（提供设备连接图片资料）</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rPr>
        <w:t xml:space="preserve">当移动式等离子体空气消毒机处于</w:t>
      </w:r>
      <w:r>
        <w:rPr>
          <w:rFonts w:hint="eastAsia" w:ascii="宋体" w:hAnsi="宋体" w:eastAsia="宋体" w:cs="宋体"/>
          <w:color w:val="auto"/>
          <w:sz w:val="24"/>
          <w:szCs w:val="24"/>
          <w:highlight w:val="none"/>
          <w:lang w:val="en-US" w:eastAsia="zh-CN"/>
        </w:rPr>
        <w:t xml:space="preserve">夜间</w:t>
      </w:r>
      <w:r>
        <w:rPr>
          <w:rFonts w:hint="eastAsia" w:ascii="宋体" w:hAnsi="宋体" w:eastAsia="宋体" w:cs="宋体"/>
          <w:color w:val="auto"/>
          <w:sz w:val="24"/>
          <w:szCs w:val="24"/>
          <w:highlight w:val="none"/>
        </w:rPr>
        <w:t xml:space="preserve">模式，噪声数值为≤5</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分贝；</w:t>
      </w:r>
      <w:r/>
    </w:p>
    <w:p>
      <w:pPr>
        <w:numPr>
          <w:ilvl w:val="0"/>
          <w:numId w:val="0"/>
        </w:num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19.</w:t>
      </w:r>
      <w:r>
        <w:rPr>
          <w:rFonts w:hint="eastAsia" w:ascii="宋体" w:hAnsi="宋体" w:eastAsia="宋体" w:cs="宋体"/>
          <w:color w:val="auto"/>
          <w:sz w:val="24"/>
          <w:szCs w:val="24"/>
          <w:highlight w:val="none"/>
        </w:rPr>
        <w:t xml:space="preserve">移动式等离子体空气消毒机具备无线远程监控系统：设备配备无线物联网卡，具有智能无线远程监控功能，核心部件运行情况和报警记录能够实时查看，并自动保存详细运行记录、报警、维护、维修记录，相关监测模块终生免费使用，并终生自动保存详细运行记录，同时上传云数据服务器。（提供技术参数确认函加盖投标人公章佐证。）</w:t>
      </w:r>
      <w:r/>
    </w:p>
    <w:p>
      <w:pPr>
        <w:pStyle w:val="1065"/>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移动式等离子体空气消毒机和</w:t>
      </w:r>
      <w:r>
        <w:rPr>
          <w:rFonts w:hint="eastAsia" w:ascii="宋体" w:hAnsi="宋体" w:eastAsia="宋体" w:cs="宋体"/>
          <w:b/>
          <w:bCs/>
          <w:color w:val="auto"/>
          <w:sz w:val="24"/>
          <w:szCs w:val="24"/>
          <w:highlight w:val="none"/>
          <w:lang w:val="en-US" w:eastAsia="zh-CN"/>
        </w:rPr>
        <w:t xml:space="preserve">洁净罩具备自主调控百级区域的温度，是与洁净罩外温度对比。（提供生产厂家设备说明书）</w:t>
      </w:r>
      <w:r/>
    </w:p>
    <w:p>
      <w:pPr>
        <w:pStyle w:val="1065"/>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5"/>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5"/>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5"/>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5"/>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5"/>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65"/>
        <w:ind w:left="0" w:firstLine="482"/>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医疗设备清单表：</w:t>
      </w:r>
      <w:r/>
    </w:p>
    <w:tbl>
      <w:tblPr>
        <w:tblStyle w:val="819"/>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115"/>
        <w:gridCol w:w="4275"/>
        <w:gridCol w:w="1305"/>
        <w:gridCol w:w="1080"/>
      </w:tblGrid>
      <w:tr>
        <w:trPr>
          <w:jc w:val="center"/>
          <w:trHeight w:val="90"/>
          <w:tblHeader/>
        </w:trPr>
        <w:tc>
          <w:tcPr>
            <w:tcW w:w="781"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eastAsia"/>
                <w:b/>
                <w:color w:val="auto"/>
                <w:highlight w:val="none"/>
                <w:vertAlign w:val="baseline"/>
                <w:lang w:val="en-US" w:eastAsia="zh-CN"/>
              </w:rPr>
              <w:t xml:space="preserve">序号</w:t>
            </w:r>
            <w:r/>
          </w:p>
        </w:tc>
        <w:tc>
          <w:tcPr>
            <w:tcW w:w="2115" w:type="dxa"/>
            <w:vAlign w:val="center"/>
            <w:textDirection w:val="lrTb"/>
            <w:noWrap w:val="false"/>
          </w:tcPr>
          <w:p>
            <w:pPr>
              <w:ind w:left="0" w:right="0" w:firstLine="0"/>
              <w:jc w:val="center"/>
              <w:keepNext/>
              <w:rPr>
                <w:rFonts w:hint="default" w:eastAsia="宋体"/>
                <w:b/>
                <w:color w:val="auto"/>
                <w:highlight w:val="none"/>
                <w:vertAlign w:val="baseline"/>
                <w:lang w:val="en-US" w:eastAsia="zh-CN"/>
              </w:rPr>
            </w:pPr>
            <w:r>
              <w:rPr>
                <w:rFonts w:hint="eastAsia"/>
                <w:b/>
                <w:color w:val="auto"/>
                <w:highlight w:val="none"/>
                <w:vertAlign w:val="baseline"/>
                <w:lang w:val="en-US" w:eastAsia="zh-CN"/>
              </w:rPr>
              <w:t xml:space="preserve">设备名称</w:t>
            </w:r>
            <w:r/>
          </w:p>
        </w:tc>
        <w:tc>
          <w:tcPr>
            <w:tcW w:w="4275"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eastAsia"/>
                <w:b/>
                <w:color w:val="auto"/>
                <w:highlight w:val="none"/>
                <w:vertAlign w:val="baseline"/>
                <w:lang w:val="en-US" w:eastAsia="zh-CN"/>
              </w:rPr>
              <w:t xml:space="preserve">项目描述</w:t>
            </w:r>
            <w:r/>
          </w:p>
        </w:tc>
        <w:tc>
          <w:tcPr>
            <w:tcW w:w="1305" w:type="dxa"/>
            <w:vAlign w:val="center"/>
            <w:textDirection w:val="lrTb"/>
            <w:noWrap w:val="false"/>
          </w:tcPr>
          <w:p>
            <w:pPr>
              <w:ind w:left="0" w:right="0" w:firstLine="0"/>
              <w:jc w:val="center"/>
              <w:keepNext/>
              <w:rPr>
                <w:rFonts w:hint="eastAsia"/>
                <w:b/>
                <w:color w:val="auto"/>
                <w:highlight w:val="none"/>
                <w:vertAlign w:val="baseline"/>
                <w:lang w:val="en-US" w:eastAsia="zh-CN"/>
              </w:rPr>
            </w:pPr>
            <w:r>
              <w:rPr>
                <w:rFonts w:hint="eastAsia"/>
                <w:b/>
                <w:color w:val="auto"/>
                <w:highlight w:val="none"/>
                <w:vertAlign w:val="baseline"/>
                <w:lang w:val="en-US" w:eastAsia="zh-CN"/>
              </w:rPr>
              <w:t xml:space="preserve">单位</w:t>
            </w:r>
            <w:r/>
          </w:p>
        </w:tc>
        <w:tc>
          <w:tcPr>
            <w:tcW w:w="1080"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eastAsia"/>
                <w:b/>
                <w:color w:val="auto"/>
                <w:highlight w:val="none"/>
                <w:vertAlign w:val="baseline"/>
                <w:lang w:val="en-US" w:eastAsia="zh-CN"/>
              </w:rPr>
              <w:t xml:space="preserve">数量</w:t>
            </w:r>
            <w:r/>
          </w:p>
        </w:tc>
      </w:tr>
      <w:tr>
        <w:trPr>
          <w:jc w:val="center"/>
          <w:trHeight w:val="0"/>
        </w:trPr>
        <w:tc>
          <w:tcPr>
            <w:tcW w:w="781" w:type="dxa"/>
            <w:vAlign w:val="center"/>
            <w:textDirection w:val="lrTb"/>
            <w:noWrap w:val="false"/>
          </w:tcPr>
          <w:p>
            <w:pPr>
              <w:numPr>
                <w:ilvl w:val="0"/>
                <w:numId w:val="0"/>
              </w:numPr>
              <w:ind w:left="0" w:right="0" w:firstLine="0"/>
              <w:jc w:val="center"/>
              <w:keepNext/>
              <w:rPr>
                <w:rFonts w:hint="default"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1</w:t>
            </w:r>
            <w:r/>
          </w:p>
        </w:tc>
        <w:tc>
          <w:tcPr>
            <w:tcW w:w="2115" w:type="dxa"/>
            <w:vAlign w:val="center"/>
            <w:textDirection w:val="lrTb"/>
            <w:noWrap w:val="false"/>
          </w:tcPr>
          <w:p>
            <w:pPr>
              <w:ind w:left="0" w:right="0" w:firstLine="0"/>
              <w:jc w:val="left"/>
              <w:keepNext/>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移动式移植舱</w:t>
            </w:r>
            <w:r/>
          </w:p>
        </w:tc>
        <w:tc>
          <w:tcPr>
            <w:shd w:val="clear" w:color="auto" w:fill="auto"/>
            <w:tcW w:w="4275" w:type="dxa"/>
            <w:vAlign w:val="center"/>
            <w:textDirection w:val="lrTb"/>
            <w:noWrap w:val="false"/>
          </w:tcPr>
          <w:p>
            <w:pPr>
              <w:ind w:left="0" w:right="0" w:firstLine="0"/>
              <w:jc w:val="left"/>
              <w:keepNex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最大</w:t>
            </w:r>
            <w:r>
              <w:rPr>
                <w:rFonts w:hint="eastAsia" w:ascii="宋体" w:hAnsi="宋体" w:eastAsia="宋体" w:cs="宋体"/>
                <w:sz w:val="24"/>
                <w:szCs w:val="24"/>
                <w:highlight w:val="none"/>
                <w:lang w:val="en-US" w:eastAsia="zh-CN"/>
              </w:rPr>
              <w:t xml:space="preserve">循环风量：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sz w:val="24"/>
                <w:szCs w:val="24"/>
                <w:highlight w:val="none"/>
                <w:lang w:val="en-US" w:eastAsia="zh-CN"/>
              </w:rPr>
              <w:t xml:space="preserve">2000m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lang w:val="en-US" w:eastAsia="zh-CN"/>
              </w:rPr>
              <w:t xml:space="preserve">h</w:t>
            </w:r>
            <w:r/>
          </w:p>
          <w:p>
            <w:pPr>
              <w:ind w:left="0" w:right="0" w:firstLine="0"/>
              <w:jc w:val="left"/>
              <w:keepNex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百级洁净区域面积：大于等于4.3平方米。</w:t>
            </w:r>
            <w:r/>
          </w:p>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灭菌因子：等离子体</w:t>
            </w:r>
            <w:r/>
          </w:p>
        </w:tc>
        <w:tc>
          <w:tcPr>
            <w:tcW w:w="1305" w:type="dxa"/>
            <w:vAlign w:val="center"/>
            <w:textDirection w:val="lrTb"/>
            <w:noWrap w:val="false"/>
          </w:tcPr>
          <w:p>
            <w:pPr>
              <w:ind w:left="0" w:right="0" w:firstLine="0"/>
              <w:jc w:val="center"/>
              <w:keepNext/>
              <w:rPr>
                <w:rFonts w:hint="eastAsia" w:ascii="宋体" w:eastAsia="宋体"/>
                <w:color w:val="auto"/>
                <w:sz w:val="24"/>
                <w:highlight w:val="none"/>
                <w:vertAlign w:val="baseline"/>
                <w:lang w:val="en-US" w:eastAsia="zh-CN"/>
              </w:rPr>
            </w:pPr>
            <w:r>
              <w:rPr>
                <w:rFonts w:hint="eastAsia" w:ascii="宋体" w:eastAsia="宋体"/>
                <w:color w:val="auto"/>
                <w:sz w:val="24"/>
                <w:highlight w:val="none"/>
                <w:vertAlign w:val="baseline"/>
                <w:lang w:val="en-US" w:eastAsia="zh-CN"/>
              </w:rPr>
              <w:t xml:space="preserve">台</w:t>
            </w:r>
            <w:r/>
          </w:p>
        </w:tc>
        <w:tc>
          <w:tcPr>
            <w:tcW w:w="1080" w:type="dxa"/>
            <w:vAlign w:val="center"/>
            <w:textDirection w:val="lrTb"/>
            <w:noWrap w:val="false"/>
          </w:tcPr>
          <w:p>
            <w:pPr>
              <w:ind w:left="0" w:right="0" w:firstLine="0"/>
              <w:jc w:val="center"/>
              <w:keepNext/>
              <w:rPr>
                <w:rFonts w:hint="default" w:ascii="宋体" w:eastAsia="宋体"/>
                <w:color w:val="auto"/>
                <w:sz w:val="24"/>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1</w:t>
            </w:r>
            <w:r/>
          </w:p>
        </w:tc>
      </w:tr>
      <w:tr>
        <w:trPr>
          <w:jc w:val="center"/>
          <w:trHeight w:val="0"/>
        </w:trPr>
        <w:tc>
          <w:tcPr>
            <w:tcW w:w="781" w:type="dxa"/>
            <w:vAlign w:val="center"/>
            <w:textDirection w:val="lrTb"/>
            <w:noWrap w:val="false"/>
          </w:tcPr>
          <w:p>
            <w:pPr>
              <w:numPr>
                <w:ilvl w:val="0"/>
                <w:numId w:val="0"/>
              </w:numPr>
              <w:ind w:left="0" w:right="0" w:firstLine="0"/>
              <w:jc w:val="center"/>
              <w:keepNext/>
              <w:rPr>
                <w:rFonts w:hint="default"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2</w:t>
            </w:r>
            <w:r/>
          </w:p>
        </w:tc>
        <w:tc>
          <w:tcPr>
            <w:tcW w:w="2115" w:type="dxa"/>
            <w:vAlign w:val="center"/>
            <w:textDirection w:val="lrTb"/>
            <w:noWrap w:val="false"/>
          </w:tcPr>
          <w:p>
            <w:pPr>
              <w:ind w:left="0" w:right="0" w:firstLine="0"/>
              <w:jc w:val="left"/>
              <w:keepNext/>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 xml:space="preserve">空气灭菌站</w:t>
            </w:r>
            <w:r/>
          </w:p>
        </w:tc>
        <w:tc>
          <w:tcPr>
            <w:shd w:val="clear" w:color="auto" w:fill="auto"/>
            <w:tcW w:w="4275" w:type="dxa"/>
            <w:vAlign w:val="center"/>
            <w:textDirection w:val="lrTb"/>
            <w:noWrap w:val="false"/>
          </w:tcPr>
          <w:p>
            <w:pPr>
              <w:ind w:left="0" w:right="0" w:firstLine="0"/>
              <w:jc w:val="left"/>
              <w:keepNex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最大</w:t>
            </w:r>
            <w:r>
              <w:rPr>
                <w:rFonts w:hint="eastAsia" w:ascii="宋体" w:hAnsi="宋体" w:eastAsia="宋体" w:cs="宋体"/>
                <w:sz w:val="24"/>
                <w:szCs w:val="24"/>
                <w:highlight w:val="none"/>
                <w:lang w:val="en-US" w:eastAsia="zh-CN"/>
              </w:rPr>
              <w:t xml:space="preserve">循环风量：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sz w:val="24"/>
                <w:szCs w:val="24"/>
                <w:highlight w:val="none"/>
                <w:lang w:val="en-US" w:eastAsia="zh-CN"/>
              </w:rPr>
              <w:t xml:space="preserve">1500m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lang w:val="en-US" w:eastAsia="zh-CN"/>
              </w:rPr>
              <w:t xml:space="preserve">h</w:t>
            </w:r>
            <w:r/>
          </w:p>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灭菌因子：等离子体</w:t>
            </w:r>
            <w:r/>
          </w:p>
        </w:tc>
        <w:tc>
          <w:tcPr>
            <w:tcW w:w="1305" w:type="dxa"/>
            <w:vAlign w:val="center"/>
            <w:textDirection w:val="lrTb"/>
            <w:noWrap w:val="false"/>
          </w:tcPr>
          <w:p>
            <w:pPr>
              <w:ind w:left="0" w:right="0" w:firstLine="0"/>
              <w:jc w:val="center"/>
              <w:keepNext/>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 xml:space="preserve">台</w:t>
            </w:r>
            <w:r/>
          </w:p>
        </w:tc>
        <w:tc>
          <w:tcPr>
            <w:tcW w:w="1080" w:type="dxa"/>
            <w:vAlign w:val="center"/>
            <w:textDirection w:val="lrTb"/>
            <w:noWrap w:val="false"/>
          </w:tcPr>
          <w:p>
            <w:pPr>
              <w:ind w:left="0" w:right="0" w:firstLine="0"/>
              <w:jc w:val="center"/>
              <w:keepNex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vertAlign w:val="baseline"/>
                <w:lang w:val="en-US" w:eastAsia="zh-CN"/>
              </w:rPr>
              <w:t xml:space="preserve">1</w:t>
            </w:r>
            <w:r/>
          </w:p>
        </w:tc>
      </w:tr>
      <w:tr>
        <w:trPr>
          <w:jc w:val="center"/>
          <w:trHeight w:val="0"/>
        </w:trPr>
        <w:tc>
          <w:tcPr>
            <w:tcW w:w="781" w:type="dxa"/>
            <w:vAlign w:val="center"/>
            <w:textDirection w:val="lrTb"/>
            <w:noWrap w:val="false"/>
          </w:tcPr>
          <w:p>
            <w:pPr>
              <w:numPr>
                <w:ilvl w:val="0"/>
                <w:numId w:val="0"/>
              </w:numPr>
              <w:ind w:left="0" w:right="0" w:firstLine="0"/>
              <w:jc w:val="center"/>
              <w:keepNext/>
              <w:rPr>
                <w:rFonts w:hint="default"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 xml:space="preserve">3</w:t>
            </w:r>
            <w:r/>
          </w:p>
        </w:tc>
        <w:tc>
          <w:tcPr>
            <w:tcW w:w="2115" w:type="dxa"/>
            <w:vAlign w:val="center"/>
            <w:textDirection w:val="lrTb"/>
            <w:noWrap w:val="false"/>
          </w:tcPr>
          <w:p>
            <w:pPr>
              <w:ind w:left="0" w:right="0" w:firstLine="0"/>
              <w:jc w:val="left"/>
              <w:keepNext/>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 xml:space="preserve">移动式</w:t>
            </w:r>
            <w:r>
              <w:rPr>
                <w:rFonts w:hint="eastAsia" w:ascii="宋体" w:hAnsi="宋体" w:eastAsia="宋体" w:cs="宋体"/>
                <w:color w:val="auto"/>
                <w:sz w:val="24"/>
                <w:szCs w:val="32"/>
                <w:highlight w:val="none"/>
                <w:vertAlign w:val="baseline"/>
              </w:rPr>
              <w:t xml:space="preserve">等离子体空气消毒机</w:t>
            </w:r>
            <w:r/>
          </w:p>
        </w:tc>
        <w:tc>
          <w:tcPr>
            <w:shd w:val="clear" w:color="auto" w:fill="auto"/>
            <w:tcW w:w="4275" w:type="dxa"/>
            <w:vAlign w:val="center"/>
            <w:textDirection w:val="lrTb"/>
            <w:noWrap w:val="false"/>
          </w:tcPr>
          <w:p>
            <w:pPr>
              <w:ind w:left="0" w:right="0" w:firstLine="0"/>
              <w:jc w:val="left"/>
              <w:keepNex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最大</w:t>
            </w:r>
            <w:r>
              <w:rPr>
                <w:rFonts w:hint="eastAsia" w:ascii="宋体" w:hAnsi="宋体" w:eastAsia="宋体" w:cs="宋体"/>
                <w:sz w:val="24"/>
                <w:szCs w:val="24"/>
                <w:highlight w:val="none"/>
                <w:lang w:val="en-US" w:eastAsia="zh-CN"/>
              </w:rPr>
              <w:t xml:space="preserve">循环风量：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sz w:val="24"/>
                <w:szCs w:val="24"/>
                <w:highlight w:val="none"/>
                <w:lang w:val="en-US" w:eastAsia="zh-CN"/>
              </w:rPr>
              <w:t xml:space="preserve">1200m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vertAlign w:val="baseline"/>
                <w:lang w:val="en-US" w:eastAsia="zh-CN"/>
              </w:rPr>
              <w:t xml:space="preserve">/</w:t>
            </w:r>
            <w:r>
              <w:rPr>
                <w:rFonts w:hint="eastAsia" w:ascii="宋体" w:hAnsi="宋体" w:eastAsia="宋体" w:cs="宋体"/>
                <w:sz w:val="24"/>
                <w:szCs w:val="24"/>
                <w:highlight w:val="none"/>
                <w:lang w:val="en-US" w:eastAsia="zh-CN"/>
              </w:rPr>
              <w:t xml:space="preserve">h</w:t>
            </w:r>
            <w:r/>
          </w:p>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灭菌因子：等离子体</w:t>
            </w:r>
            <w:r/>
          </w:p>
        </w:tc>
        <w:tc>
          <w:tcPr>
            <w:tcW w:w="1305" w:type="dxa"/>
            <w:vAlign w:val="center"/>
            <w:textDirection w:val="lrTb"/>
            <w:noWrap w:val="false"/>
          </w:tcPr>
          <w:p>
            <w:pPr>
              <w:ind w:left="0" w:right="0" w:firstLine="0"/>
              <w:jc w:val="center"/>
              <w:keepNext/>
              <w:rPr>
                <w:rFonts w:hint="eastAsia" w:ascii="宋体" w:hAnsi="宋体" w:eastAsia="宋体" w:cs="宋体"/>
                <w:color w:val="auto"/>
                <w:sz w:val="24"/>
                <w:szCs w:val="32"/>
                <w:highlight w:val="none"/>
                <w:vertAlign w:val="baseline"/>
                <w:lang w:val="en-US" w:eastAsia="zh-CN" w:bidi="ar-SA"/>
              </w:rPr>
            </w:pPr>
            <w:r>
              <w:rPr>
                <w:rFonts w:hint="eastAsia" w:ascii="宋体" w:hAnsi="宋体" w:eastAsia="宋体" w:cs="宋体"/>
                <w:color w:val="auto"/>
                <w:sz w:val="24"/>
                <w:szCs w:val="32"/>
                <w:highlight w:val="none"/>
                <w:vertAlign w:val="baseline"/>
                <w:lang w:val="en-US" w:eastAsia="zh-CN"/>
              </w:rPr>
              <w:t xml:space="preserve">台</w:t>
            </w:r>
            <w:r/>
          </w:p>
        </w:tc>
        <w:tc>
          <w:tcPr>
            <w:tcW w:w="1080" w:type="dxa"/>
            <w:vAlign w:val="center"/>
            <w:textDirection w:val="lrTb"/>
            <w:noWrap w:val="false"/>
          </w:tcPr>
          <w:p>
            <w:pPr>
              <w:ind w:left="0" w:right="0" w:firstLine="0"/>
              <w:jc w:val="center"/>
              <w:keepNex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vertAlign w:val="baseline"/>
                <w:lang w:val="en-US" w:eastAsia="zh-CN"/>
              </w:rPr>
              <w:t xml:space="preserve">2</w:t>
            </w:r>
            <w:r/>
          </w:p>
        </w:tc>
      </w:tr>
    </w:tbl>
    <w:p>
      <w:pPr>
        <w:rPr>
          <w:rFonts w:ascii="宋体" w:hAnsi="宋体" w:eastAsia="宋体" w:cs="宋体"/>
          <w:sz w:val="24"/>
          <w:szCs w:val="24"/>
          <w:highlight w:val="none"/>
        </w:rPr>
      </w:pPr>
      <w:r>
        <w:rPr>
          <w:rFonts w:ascii="宋体" w:hAnsi="宋体" w:eastAsia="宋体" w:cs="宋体"/>
          <w:b/>
          <w:bCs/>
          <w:spacing w:val="-3"/>
          <w:sz w:val="24"/>
          <w:szCs w:val="24"/>
          <w:highlight w:val="none"/>
        </w:rPr>
        <w:t xml:space="preserve">装饰装修材料清单表：</w:t>
      </w:r>
      <w:r/>
    </w:p>
    <w:p>
      <w:pPr>
        <w:spacing w:line="149" w:lineRule="exact"/>
        <w:rPr>
          <w:highlight w:val="none"/>
        </w:rPr>
      </w:pPr>
      <w:r>
        <w:rPr>
          <w:highlight w:val="none"/>
        </w:rPr>
      </w:r>
      <w:r/>
    </w:p>
    <w:tbl>
      <w:tblPr>
        <w:tblStyle w:val="1062"/>
        <w:tblW w:w="95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2054"/>
        <w:gridCol w:w="4545"/>
        <w:gridCol w:w="995"/>
        <w:gridCol w:w="1110"/>
      </w:tblGrid>
      <w:tr>
        <w:trPr>
          <w:jc w:val="center"/>
          <w:trHeight w:val="602"/>
        </w:trPr>
        <w:tc>
          <w:tcPr>
            <w:tcW w:w="823"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default"/>
                <w:b/>
                <w:color w:val="auto"/>
                <w:highlight w:val="none"/>
                <w:vertAlign w:val="baseline"/>
                <w:lang w:val="en-US" w:eastAsia="zh-CN"/>
              </w:rPr>
              <w:t xml:space="preserve">序号</w:t>
            </w:r>
            <w:r/>
          </w:p>
        </w:tc>
        <w:tc>
          <w:tcPr>
            <w:tcW w:w="2054"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default"/>
                <w:b/>
                <w:color w:val="auto"/>
                <w:highlight w:val="none"/>
                <w:vertAlign w:val="baseline"/>
                <w:lang w:val="en-US" w:eastAsia="zh-CN"/>
              </w:rPr>
              <w:t xml:space="preserve">名称</w:t>
            </w:r>
            <w:r/>
          </w:p>
        </w:tc>
        <w:tc>
          <w:tcPr>
            <w:tcW w:w="4545"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default"/>
                <w:b/>
                <w:color w:val="auto"/>
                <w:highlight w:val="none"/>
                <w:vertAlign w:val="baseline"/>
                <w:lang w:val="en-US" w:eastAsia="zh-CN"/>
              </w:rPr>
              <w:t xml:space="preserve">物品描述</w:t>
            </w:r>
            <w:r/>
          </w:p>
        </w:tc>
        <w:tc>
          <w:tcPr>
            <w:tcW w:w="995"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default"/>
                <w:b/>
                <w:color w:val="auto"/>
                <w:highlight w:val="none"/>
                <w:vertAlign w:val="baseline"/>
                <w:lang w:val="en-US" w:eastAsia="zh-CN"/>
              </w:rPr>
              <w:t xml:space="preserve">单位</w:t>
            </w:r>
            <w:r/>
          </w:p>
        </w:tc>
        <w:tc>
          <w:tcPr>
            <w:tcW w:w="1110" w:type="dxa"/>
            <w:vAlign w:val="center"/>
            <w:textDirection w:val="lrTb"/>
            <w:noWrap w:val="false"/>
          </w:tcPr>
          <w:p>
            <w:pPr>
              <w:ind w:left="0" w:right="0" w:firstLine="0"/>
              <w:jc w:val="center"/>
              <w:keepNext/>
              <w:rPr>
                <w:rFonts w:hint="default"/>
                <w:b/>
                <w:color w:val="auto"/>
                <w:highlight w:val="none"/>
                <w:vertAlign w:val="baseline"/>
                <w:lang w:val="en-US" w:eastAsia="zh-CN"/>
              </w:rPr>
            </w:pPr>
            <w:r>
              <w:rPr>
                <w:rFonts w:hint="default"/>
                <w:b/>
                <w:color w:val="auto"/>
                <w:highlight w:val="none"/>
                <w:vertAlign w:val="baseline"/>
                <w:lang w:val="en-US" w:eastAsia="zh-CN"/>
              </w:rPr>
              <w:t xml:space="preserve">数量</w:t>
            </w:r>
            <w:r/>
          </w:p>
        </w:tc>
      </w:tr>
      <w:tr>
        <w:trPr>
          <w:jc w:val="center"/>
          <w:trHeight w:val="45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1</w:t>
            </w:r>
            <w:r/>
          </w:p>
        </w:tc>
        <w:tc>
          <w:tcPr>
            <w:tcW w:w="20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窗户密封</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双面亚克力板整体密封</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cs="宋体"/>
                <w:sz w:val="22"/>
                <w:szCs w:val="22"/>
                <w:highlight w:val="none"/>
                <w:lang w:val="en-US" w:eastAsia="zh-CN"/>
              </w:rPr>
              <w:t xml:space="preserve">厚度：5mm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val="en-US" w:eastAsia="zh-CN"/>
              </w:rPr>
              <w:t xml:space="preserve">.6</w:t>
            </w:r>
            <w:r/>
          </w:p>
        </w:tc>
      </w:tr>
      <w:tr>
        <w:trPr>
          <w:jc w:val="center"/>
          <w:trHeight w:val="462"/>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2</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天棚修补</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吊顶面层原样恢复</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cs="宋体"/>
                <w:sz w:val="22"/>
                <w:szCs w:val="22"/>
                <w:highlight w:val="none"/>
                <w:lang w:val="en-US" w:eastAsia="zh-CN"/>
              </w:rPr>
              <w:t xml:space="preserve">铝扣板尺寸：600*600mm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1</w:t>
            </w:r>
            <w:r>
              <w:rPr>
                <w:rFonts w:hint="eastAsia" w:ascii="宋体" w:hAnsi="宋体" w:cs="宋体"/>
                <w:sz w:val="22"/>
                <w:szCs w:val="22"/>
                <w:highlight w:val="none"/>
                <w:lang w:val="en-US" w:eastAsia="zh-CN"/>
              </w:rPr>
              <w:t xml:space="preserve">2</w:t>
            </w:r>
            <w:r/>
          </w:p>
        </w:tc>
      </w:tr>
      <w:tr>
        <w:trPr>
          <w:jc w:val="center"/>
          <w:trHeight w:val="466"/>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3</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金属门窗套</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val="en-US" w:eastAsia="zh-CN"/>
              </w:rPr>
              <w:t xml:space="preserve">150mm宽304不锈钢（1.0厚拉丝不锈钢）包边</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val="en-US" w:eastAsia="zh-CN"/>
              </w:rPr>
              <w:t xml:space="preserve">.05</w:t>
            </w:r>
            <w:r/>
          </w:p>
        </w:tc>
      </w:tr>
      <w:tr>
        <w:trPr>
          <w:jc w:val="center"/>
          <w:trHeight w:val="523"/>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4</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2m跨步鞋凳</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304不锈钢（成品）</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cs="宋体"/>
                <w:sz w:val="22"/>
                <w:szCs w:val="22"/>
                <w:highlight w:val="none"/>
                <w:lang w:val="en-US" w:eastAsia="zh-CN"/>
              </w:rPr>
              <w:t xml:space="preserve">宽度：30cm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个</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1</w:t>
            </w:r>
            <w:r/>
          </w:p>
        </w:tc>
      </w:tr>
      <w:tr>
        <w:trPr>
          <w:jc w:val="center"/>
          <w:trHeight w:val="523"/>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5</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窗帘</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天帘</w:t>
            </w:r>
            <w:r>
              <w:rPr>
                <w:rFonts w:hint="eastAsia" w:ascii="宋体" w:hAnsi="宋体" w:cs="宋体"/>
                <w:sz w:val="22"/>
                <w:szCs w:val="22"/>
                <w:highlight w:val="none"/>
                <w:lang w:val="en-US" w:eastAsia="zh-CN"/>
              </w:rPr>
              <w:t xml:space="preserve">材质：100%涤纶</w:t>
            </w:r>
            <w:r/>
          </w:p>
          <w:p>
            <w:pPr>
              <w:ind w:left="0" w:right="0"/>
              <w:jc w:val="both"/>
              <w:keepLines w:val="0"/>
              <w:keepNext w:val="0"/>
              <w:spacing w:before="0" w:beforeAutospacing="0" w:after="0" w:afterAutospacing="0"/>
              <w:rPr>
                <w:rFonts w:hint="eastAsia" w:ascii="宋体" w:hAnsi="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阻燃等级：B1</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cs="宋体"/>
                <w:sz w:val="22"/>
                <w:szCs w:val="22"/>
                <w:highlight w:val="none"/>
                <w:lang w:val="en-US" w:eastAsia="zh-CN"/>
              </w:rPr>
              <w:t xml:space="preserve">尺寸：宽幅2.6米。高度2.6米</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m</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lang w:val="en-US" w:eastAsia="zh-CN"/>
              </w:rPr>
              <w:t xml:space="preserve">.05</w:t>
            </w:r>
            <w:r/>
          </w:p>
        </w:tc>
      </w:tr>
      <w:tr>
        <w:trPr>
          <w:jc w:val="center"/>
          <w:trHeight w:val="463"/>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6</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块料楼地面</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防滑地砖</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cs="宋体"/>
                <w:sz w:val="22"/>
                <w:szCs w:val="22"/>
                <w:highlight w:val="none"/>
                <w:lang w:val="en-US" w:eastAsia="zh-CN"/>
              </w:rPr>
              <w:t xml:space="preserve">尺寸：600*600mm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lang w:val="en-US" w:eastAsia="zh-CN"/>
              </w:rPr>
              <w:t xml:space="preserve">.34</w:t>
            </w:r>
            <w:r/>
          </w:p>
        </w:tc>
      </w:tr>
      <w:tr>
        <w:trPr>
          <w:jc w:val="center"/>
          <w:trHeight w:val="47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7</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装饰脚手架</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综合考虑</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val="en-US" w:eastAsia="zh-CN"/>
              </w:rPr>
              <w:t xml:space="preserve">8</w:t>
            </w:r>
            <w:r/>
          </w:p>
        </w:tc>
      </w:tr>
      <w:tr>
        <w:trPr>
          <w:jc w:val="center"/>
          <w:trHeight w:val="90"/>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8</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配电箱</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1、名称:配电箱</w:t>
            </w:r>
            <w:r/>
          </w:p>
          <w:p>
            <w:pPr>
              <w:ind w:left="0" w:right="0"/>
              <w:jc w:val="both"/>
              <w:keepLines w:val="0"/>
              <w:keepNext w:val="0"/>
              <w:spacing w:before="0" w:beforeAutospacing="0" w:after="0" w:afterAutospacing="0"/>
              <w:rPr>
                <w:rFonts w:hint="default"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尺寸：350*250*120mm</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、安装方式:挂墙明装</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台</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1</w:t>
            </w:r>
            <w:r/>
          </w:p>
        </w:tc>
      </w:tr>
      <w:tr>
        <w:trPr>
          <w:jc w:val="center"/>
          <w:trHeight w:val="980"/>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9</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配管</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1、名称:配管</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2、材质:PC20</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3、配置形式:吊顶内明敷</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eastAsia="宋体" w:cs="宋体"/>
                <w:sz w:val="22"/>
                <w:szCs w:val="22"/>
                <w:highlight w:val="none"/>
                <w:lang w:val="en-US" w:eastAsia="zh-CN"/>
              </w:rPr>
              <w:t xml:space="preserve">m</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.2</w:t>
            </w:r>
            <w:r/>
          </w:p>
        </w:tc>
      </w:tr>
      <w:tr>
        <w:trPr>
          <w:jc w:val="center"/>
          <w:trHeight w:val="992"/>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904240</wp:posOffset>
                      </wp:positionH>
                      <wp:positionV relativeFrom="page">
                        <wp:posOffset>7090410</wp:posOffset>
                      </wp:positionV>
                      <wp:extent cx="147955" cy="8255"/>
                      <wp:effectExtent l="0" t="0" r="0" b="0"/>
                      <wp:wrapNone/>
                      <wp:docPr id="3" name="IM 368"/>
                      <wp:cNvGraphicFramePr/>
                      <a:graphic xmlns:a="http://schemas.openxmlformats.org/drawingml/2006/main">
                        <a:graphicData uri="http://schemas.openxmlformats.org/drawingml/2006/picture">
                          <pic:pic xmlns:pic="http://schemas.openxmlformats.org/drawingml/2006/picture">
                            <pic:nvPicPr>
                              <pic:cNvPr id="4" name="IM 368"/>
                              <pic:cNvPicPr/>
                              <pic:nvPr/>
                            </pic:nvPicPr>
                            <pic:blipFill>
                              <a:blip r:embed="rId16"/>
                              <a:stretch/>
                            </pic:blipFill>
                            <pic:spPr bwMode="auto">
                              <a:xfrm>
                                <a:off x="0" y="0"/>
                                <a:ext cx="147955" cy="8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page;margin-left:71.2pt;mso-position-horizontal:absolute;mso-position-vertical-relative:page;margin-top:558.3pt;mso-position-vertical:absolute;width:11.6pt;height:0.7pt;mso-wrap-distance-left:9.0pt;mso-wrap-distance-top:0.0pt;mso-wrap-distance-right:9.0pt;mso-wrap-distance-bottom:0.0pt;" stroked="f">
                      <v:path textboxrect="0,0,0,0"/>
                      <v:imagedata r:id="rId16" o:title=""/>
                    </v:shape>
                  </w:pict>
                </mc:Fallback>
              </mc:AlternateContent>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10</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配管</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1、名称:配管</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2、材质:PC20</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3、配置形式:暗配</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lang w:val="en-US" w:eastAsia="en-US" w:bidi="ar-SA"/>
              </w:rPr>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.4</w:t>
            </w:r>
            <w:r/>
          </w:p>
        </w:tc>
      </w:tr>
      <w:tr>
        <w:trPr>
          <w:jc w:val="center"/>
          <w:trHeight w:val="1241"/>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11</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配管</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1、名称:配管</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2、材质:PC25</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3、配置形式:吊顶内明敷</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2</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.3</w:t>
            </w:r>
            <w:r/>
          </w:p>
        </w:tc>
      </w:tr>
      <w:tr>
        <w:trPr>
          <w:jc w:val="center"/>
          <w:trHeight w:val="102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12</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配线</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1、名称:配线</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2、配线形式:管内穿线</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3、规格:BYJ-2.5</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sz w:val="22"/>
                <w:szCs w:val="22"/>
                <w:highlight w:val="none"/>
                <w:lang w:val="en-US" w:eastAsia="zh-CN"/>
              </w:rPr>
              <w:t xml:space="preserve">80</w:t>
            </w:r>
            <w:r>
              <w:rPr>
                <w:rFonts w:hint="eastAsia" w:ascii="宋体" w:hAnsi="宋体" w:eastAsia="宋体" w:cs="宋体"/>
                <w:sz w:val="22"/>
                <w:szCs w:val="22"/>
                <w:highlight w:val="none"/>
              </w:rPr>
              <w:t xml:space="preserve">.8</w:t>
            </w:r>
            <w:r/>
          </w:p>
        </w:tc>
      </w:tr>
      <w:tr>
        <w:trPr>
          <w:jc w:val="center"/>
          <w:trHeight w:val="1030"/>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13</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电力电缆</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1、名称:电力电缆</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2、型号规格:WDZN-YJY-5*10</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3、电压等级（kV）:0.6/1KV</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2</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.7</w:t>
            </w:r>
            <w:r/>
          </w:p>
        </w:tc>
      </w:tr>
      <w:tr>
        <w:trPr>
          <w:jc w:val="center"/>
          <w:trHeight w:val="1241"/>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14</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接线盒</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1、名称:接线盒</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2、材质:塑料</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3、型号:86型</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4、安装形式:吊顶内明装</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个</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7</w:t>
            </w:r>
            <w:r/>
          </w:p>
        </w:tc>
      </w:tr>
      <w:tr>
        <w:trPr>
          <w:jc w:val="center"/>
          <w:trHeight w:val="1226"/>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15</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接线盒</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1、名称:插座盒</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2、材质:塑料</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3、型号:86型</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4、安装形式:暗装</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个</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19</w:t>
            </w:r>
            <w:r/>
          </w:p>
        </w:tc>
      </w:tr>
      <w:tr>
        <w:trPr>
          <w:jc w:val="center"/>
          <w:trHeight w:val="98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16</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插座</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1、名称:单相五孔插座</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2、规格:10A 250V</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3、安装方式:暗装</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个</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19</w:t>
            </w:r>
            <w:r/>
          </w:p>
        </w:tc>
      </w:tr>
      <w:tr>
        <w:trPr>
          <w:jc w:val="center"/>
          <w:trHeight w:val="94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17</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荧光灯</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1、名称:洁净灯</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2、型号规格:1200*300mm，60W</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3、安装形式:嵌入式</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7</w:t>
            </w:r>
            <w:r/>
          </w:p>
        </w:tc>
      </w:tr>
      <w:tr>
        <w:trPr>
          <w:jc w:val="center"/>
          <w:trHeight w:val="94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18</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铁构件</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1、名称:线管支吊架制作安装</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2、材质:型钢（综合）</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kg</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2</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.15</w:t>
            </w:r>
            <w:r/>
          </w:p>
        </w:tc>
      </w:tr>
      <w:tr>
        <w:trPr>
          <w:jc w:val="center"/>
          <w:trHeight w:val="94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19</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大便器</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1、名称:坐便器</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2、附件名称、数量:含所有附件安装</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color w:val="000000"/>
                <w:sz w:val="22"/>
                <w:szCs w:val="22"/>
                <w:highlight w:val="none"/>
                <w:lang w:val="en-US" w:eastAsia="zh-CN" w:bidi="ar-SA"/>
              </w:rPr>
              <w:t xml:space="preserve">3,尺寸：700*400*500mm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组</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1</w:t>
            </w:r>
            <w:r/>
          </w:p>
        </w:tc>
      </w:tr>
      <w:tr>
        <w:trPr>
          <w:jc w:val="center"/>
          <w:trHeight w:val="945"/>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20</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洗脸盆</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1、名称:洗手盆</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2、附件名称、数量:含所有附件安装</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color w:val="000000"/>
                <w:sz w:val="22"/>
                <w:szCs w:val="22"/>
                <w:highlight w:val="none"/>
                <w:lang w:val="en-US" w:eastAsia="zh-CN" w:bidi="ar-SA"/>
              </w:rPr>
              <w:t xml:space="preserve">3，尺寸：600*400*450mm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组</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1</w:t>
            </w:r>
            <w:r/>
          </w:p>
        </w:tc>
      </w:tr>
      <w:tr>
        <w:trPr>
          <w:jc w:val="center"/>
          <w:trHeight w:val="2142"/>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21</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碳钢通风管道</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1、名称:新风管道制作安装</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2、材质:热镀锌钢板</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3、形状:矩形</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4、规格:周长4000mm以下</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5、板材厚度:δ0.75mm</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6、接口形式:咬口</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7、包含支吊架及风管法兰刷漆</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sz w:val="22"/>
                <w:szCs w:val="22"/>
                <w:highlight w:val="none"/>
                <w:lang w:val="en-US" w:eastAsia="zh-CN"/>
              </w:rPr>
              <w:t xml:space="preserve">41</w:t>
            </w:r>
            <w:r>
              <w:rPr>
                <w:rFonts w:hint="eastAsia" w:ascii="宋体" w:hAnsi="宋体" w:eastAsia="宋体" w:cs="宋体"/>
                <w:sz w:val="22"/>
                <w:szCs w:val="22"/>
                <w:highlight w:val="none"/>
              </w:rPr>
              <w:t xml:space="preserve">.12</w:t>
            </w:r>
            <w:r/>
          </w:p>
        </w:tc>
      </w:tr>
      <w:tr>
        <w:trPr>
          <w:jc w:val="center"/>
          <w:trHeight w:val="2142"/>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22</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碳钢通风管道</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1、名称:新风管道制作安装</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2、材质:热镀锌钢板</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3、形状:矩形</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4、规格:周长2000mm以下</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5、板材厚度:δ0.6mm</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6、接口形式:咬口</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7、包含支吊架及风管法兰刷漆</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sz w:val="22"/>
                <w:szCs w:val="22"/>
                <w:highlight w:val="none"/>
                <w:lang w:val="en-US" w:eastAsia="zh-CN"/>
              </w:rPr>
              <w:t xml:space="preserve">40</w:t>
            </w:r>
            <w:r>
              <w:rPr>
                <w:rFonts w:hint="eastAsia" w:ascii="宋体" w:hAnsi="宋体" w:eastAsia="宋体" w:cs="宋体"/>
                <w:sz w:val="22"/>
                <w:szCs w:val="22"/>
                <w:highlight w:val="none"/>
              </w:rPr>
              <w:t xml:space="preserve">.08</w:t>
            </w:r>
            <w:r/>
          </w:p>
        </w:tc>
      </w:tr>
      <w:tr>
        <w:trPr>
          <w:jc w:val="center"/>
          <w:trHeight w:val="1256"/>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23</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通风管道绝热</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1、名称:新风管道保温</w:t>
            </w:r>
            <w:r/>
          </w:p>
          <w:p>
            <w:pPr>
              <w:ind w:left="0" w:right="0"/>
              <w:jc w:val="both"/>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2、绝热材料品种:48kg/m3离心玻璃棉板</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3、绝热厚度:30mm</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m3</w:t>
            </w:r>
            <w:r/>
          </w:p>
        </w:tc>
        <w:tc>
          <w:tcPr>
            <w:tcW w:w="111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0.</w:t>
            </w:r>
            <w:r>
              <w:rPr>
                <w:rFonts w:hint="eastAsia" w:ascii="宋体" w:hAnsi="宋体" w:cs="宋体"/>
                <w:sz w:val="22"/>
                <w:szCs w:val="22"/>
                <w:highlight w:val="none"/>
                <w:lang w:val="en-US" w:eastAsia="zh-CN"/>
              </w:rPr>
              <w:t xml:space="preserve">68</w:t>
            </w:r>
            <w:r/>
          </w:p>
        </w:tc>
      </w:tr>
      <w:tr>
        <w:trPr>
          <w:jc w:val="center"/>
          <w:trHeight w:val="730"/>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24</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柔性接口</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sz w:val="22"/>
                <w:szCs w:val="22"/>
                <w:highlight w:val="none"/>
              </w:rPr>
              <w:t xml:space="preserve">1、名称:防火帆布软接</w:t>
            </w:r>
            <w:r/>
          </w:p>
        </w:tc>
        <w:tc>
          <w:tcPr>
            <w:tcW w:w="9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.83</w:t>
            </w:r>
            <w:r/>
          </w:p>
        </w:tc>
      </w:tr>
      <w:tr>
        <w:trPr>
          <w:jc w:val="center"/>
          <w:trHeight w:val="1241"/>
        </w:trPr>
        <w:tc>
          <w:tcPr>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lang w:val="en-US" w:eastAsia="zh-CN"/>
              </w:rPr>
              <w:t xml:space="preserve">25</w:t>
            </w:r>
            <w:r/>
          </w:p>
        </w:tc>
        <w:tc>
          <w:tcPr>
            <w:tcW w:w="20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lang w:val="en-US" w:eastAsia="en-US" w:bidi="ar-SA"/>
              </w:rPr>
              <w:t xml:space="preserve">空调机组</w:t>
            </w:r>
            <w:r/>
          </w:p>
        </w:tc>
        <w:tc>
          <w:tcPr>
            <w:tcW w:w="4545"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lang w:val="en-US" w:eastAsia="zh-CN" w:bidi="ar-SA"/>
              </w:rPr>
              <w:t xml:space="preserve">1、</w:t>
            </w:r>
            <w:r>
              <w:rPr>
                <w:rFonts w:hint="eastAsia" w:ascii="宋体" w:hAnsi="宋体" w:eastAsia="宋体" w:cs="宋体"/>
                <w:color w:val="000000"/>
                <w:sz w:val="22"/>
                <w:szCs w:val="22"/>
                <w:highlight w:val="none"/>
                <w:lang w:val="en-US" w:eastAsia="en-US" w:bidi="ar-SA"/>
              </w:rPr>
              <w:t xml:space="preserve">制冷量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color w:val="000000"/>
                <w:sz w:val="22"/>
                <w:szCs w:val="22"/>
                <w:highlight w:val="none"/>
                <w:lang w:val="en-US" w:eastAsia="en-US" w:bidi="ar-SA"/>
              </w:rPr>
              <w:t xml:space="preserve">24KW</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en-US" w:bidi="ar-SA"/>
              </w:rPr>
              <w:t xml:space="preserve">制热量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color w:val="000000"/>
                <w:sz w:val="22"/>
                <w:szCs w:val="22"/>
                <w:highlight w:val="none"/>
                <w:lang w:val="en-US" w:eastAsia="en-US" w:bidi="ar-SA"/>
              </w:rPr>
              <w:t xml:space="preserve">23KW</w:t>
            </w:r>
            <w:r/>
          </w:p>
          <w:p>
            <w:pPr>
              <w:ind w:left="0" w:right="0"/>
              <w:jc w:val="both"/>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lang w:val="en-US" w:eastAsia="zh-CN" w:bidi="ar-SA"/>
              </w:rPr>
              <w:t xml:space="preserve">3、</w:t>
            </w:r>
            <w:r>
              <w:rPr>
                <w:rFonts w:hint="eastAsia" w:ascii="宋体" w:hAnsi="宋体" w:eastAsia="宋体" w:cs="宋体"/>
                <w:color w:val="000000"/>
                <w:sz w:val="22"/>
                <w:szCs w:val="22"/>
                <w:highlight w:val="none"/>
                <w:lang w:val="en-US" w:eastAsia="en-US" w:bidi="ar-SA"/>
              </w:rPr>
              <w:t xml:space="preserve">加湿量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color w:val="000000"/>
                <w:sz w:val="22"/>
                <w:szCs w:val="22"/>
                <w:highlight w:val="none"/>
                <w:lang w:val="en-US" w:eastAsia="en-US" w:bidi="ar-SA"/>
              </w:rPr>
              <w:t xml:space="preserve">8kg/h</w:t>
            </w:r>
            <w:r/>
          </w:p>
          <w:p>
            <w:pPr>
              <w:ind w:left="0" w:right="0"/>
              <w:jc w:val="both"/>
              <w:keepLines w:val="0"/>
              <w:keepNext w:val="0"/>
              <w:spacing w:before="0" w:beforeAutospacing="0" w:after="0" w:afterAutospacing="0"/>
              <w:rPr>
                <w:rFonts w:hint="default" w:ascii="宋体" w:hAnsi="宋体" w:eastAsia="宋体" w:cs="宋体"/>
                <w:color w:val="000000"/>
                <w:sz w:val="22"/>
                <w:szCs w:val="22"/>
                <w:highlight w:val="none"/>
                <w:lang w:val="en-US" w:eastAsia="zh-CN" w:bidi="ar-SA"/>
              </w:rPr>
              <w:suppressLineNumbers w:val="0"/>
            </w:pP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en-US" w:bidi="ar-SA"/>
              </w:rPr>
              <w:t xml:space="preserve">送风量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color w:val="000000"/>
                <w:sz w:val="22"/>
                <w:szCs w:val="22"/>
                <w:highlight w:val="none"/>
                <w:lang w:val="en-US" w:eastAsia="en-US" w:bidi="ar-SA"/>
              </w:rPr>
              <w:t xml:space="preserve">4000</w:t>
            </w:r>
            <w:r>
              <w:rPr>
                <w:rFonts w:hint="eastAsia" w:ascii="宋体" w:hAnsi="宋体" w:eastAsia="宋体" w:cs="宋体"/>
                <w:color w:val="000000"/>
                <w:sz w:val="22"/>
                <w:szCs w:val="22"/>
                <w:highlight w:val="none"/>
                <w:lang w:val="en-US" w:eastAsia="zh-CN" w:bidi="ar-SA"/>
              </w:rPr>
              <w:t xml:space="preserve">m³/h</w:t>
            </w:r>
            <w:r/>
          </w:p>
        </w:tc>
        <w:tc>
          <w:tcPr>
            <w:tcW w:w="9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bidi="ar-SA"/>
              </w:rPr>
              <w:suppressLineNumbers w:val="0"/>
            </w:pPr>
            <w:r>
              <w:rPr>
                <w:rFonts w:hint="eastAsia" w:ascii="宋体" w:hAnsi="宋体" w:eastAsia="宋体" w:cs="宋体"/>
                <w:color w:val="000000"/>
                <w:sz w:val="22"/>
                <w:szCs w:val="22"/>
                <w:highlight w:val="none"/>
                <w:lang w:val="en-US" w:eastAsia="zh-CN" w:bidi="ar-SA"/>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bidi="ar-SA"/>
              </w:rPr>
              <w:suppressLineNumbers w:val="0"/>
            </w:pPr>
            <w:r>
              <w:rPr>
                <w:rFonts w:hint="eastAsia" w:ascii="宋体" w:hAnsi="宋体" w:eastAsia="宋体" w:cs="宋体"/>
                <w:color w:val="000000"/>
                <w:sz w:val="22"/>
                <w:szCs w:val="22"/>
                <w:highlight w:val="none"/>
                <w:lang w:val="en-US" w:eastAsia="zh-CN" w:bidi="ar-SA"/>
              </w:rPr>
              <w:t xml:space="preserve">1</w:t>
            </w:r>
            <w:r/>
          </w:p>
        </w:tc>
      </w:tr>
      <w:tr>
        <w:trPr>
          <w:jc w:val="center"/>
          <w:trHeight w:val="760"/>
        </w:trPr>
        <w:tc>
          <w:tcPr>
            <w:tcW w:w="82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2"/>
                <w:szCs w:val="22"/>
                <w:highlight w:val="none"/>
                <w:lang w:val="en-US" w:eastAsia="zh"/>
              </w:rPr>
              <w:suppressLineNumbers w:val="0"/>
            </w:pPr>
            <w:r>
              <w:rPr>
                <w:rFonts w:hint="eastAsia" w:ascii="宋体" w:hAnsi="宋体" w:cs="宋体"/>
                <w:sz w:val="22"/>
                <w:szCs w:val="22"/>
                <w:highlight w:val="none"/>
                <w:lang w:val="en-US" w:eastAsia="zh"/>
              </w:rPr>
              <w:t xml:space="preserve">26</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lang w:eastAsia="zh"/>
              </w:rPr>
              <w:t xml:space="preserve">配置</w:t>
            </w:r>
            <w:r>
              <w:rPr>
                <w:rFonts w:hint="eastAsia" w:ascii="宋体" w:hAnsi="宋体" w:eastAsia="宋体" w:cs="宋体"/>
                <w:color w:val="000000"/>
                <w:sz w:val="22"/>
                <w:szCs w:val="22"/>
                <w:highlight w:val="none"/>
              </w:rPr>
              <w:t xml:space="preserve">可视对讲系统</w:t>
            </w:r>
            <w:r/>
          </w:p>
        </w:tc>
        <w:tc>
          <w:tcPr>
            <w:tcW w:w="454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1,分辨率800*480</w:t>
            </w:r>
            <w:r/>
          </w:p>
          <w:p>
            <w:pPr>
              <w:ind w:left="0" w:right="0"/>
              <w:jc w:val="both"/>
              <w:keepLines w:val="0"/>
              <w:keepNext w:val="0"/>
              <w:spacing w:before="0" w:beforeAutospacing="0" w:after="0" w:afterAutospacing="0"/>
              <w:widowControl w:val="off"/>
              <w:rPr>
                <w:rFonts w:hint="default" w:ascii="宋体" w:hAnsi="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2，操作方式：实体按键</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套</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1</w:t>
            </w:r>
            <w:r/>
          </w:p>
        </w:tc>
      </w:tr>
      <w:tr>
        <w:trPr>
          <w:jc w:val="center"/>
          <w:trHeight w:val="515"/>
        </w:trPr>
        <w:tc>
          <w:tcPr>
            <w:tcW w:w="82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
              </w:rPr>
              <w:t xml:space="preserve">2</w:t>
            </w:r>
            <w:r>
              <w:rPr>
                <w:rFonts w:hint="eastAsia" w:ascii="宋体" w:hAnsi="宋体" w:cs="宋体"/>
                <w:sz w:val="22"/>
                <w:szCs w:val="22"/>
                <w:highlight w:val="none"/>
                <w:lang w:val="en-US" w:eastAsia="zh-CN"/>
              </w:rPr>
              <w:t xml:space="preserve">7</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rPr>
              <w:t xml:space="preserve">建设主要材料</w:t>
            </w:r>
            <w:r/>
          </w:p>
        </w:tc>
        <w:tc>
          <w:tcPr>
            <w:tcW w:w="454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中空玻镁净化板50mm</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sz w:val="22"/>
                <w:szCs w:val="22"/>
                <w:highlight w:val="none"/>
              </w:rPr>
              <w:t xml:space="preserve">m2</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60</w:t>
            </w:r>
            <w:r/>
          </w:p>
        </w:tc>
      </w:tr>
      <w:tr>
        <w:trPr>
          <w:jc w:val="center"/>
          <w:trHeight w:val="820"/>
        </w:trPr>
        <w:tc>
          <w:tcPr>
            <w:tcW w:w="82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28</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rPr>
              <w:t xml:space="preserve">洁具</w:t>
            </w:r>
            <w:r/>
          </w:p>
        </w:tc>
        <w:tc>
          <w:tcPr>
            <w:tcW w:w="4545" w:type="dxa"/>
            <w:vAlign w:val="center"/>
            <w:textDirection w:val="lrTb"/>
            <w:noWrap w:val="false"/>
          </w:tcPr>
          <w:p>
            <w:pPr>
              <w:numPr>
                <w:ilvl w:val="0"/>
                <w:numId w:val="5"/>
              </w:numPr>
              <w:ind w:left="0" w:right="0"/>
              <w:jc w:val="both"/>
              <w:keepLines w:val="0"/>
              <w:keepNext w:val="0"/>
              <w:spacing w:before="0" w:beforeAutospacing="0" w:after="0" w:afterAutospacing="0"/>
              <w:widowControl w:val="off"/>
              <w:rPr>
                <w:rFonts w:hint="eastAsia" w:ascii="宋体" w:hAnsi="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材质陶瓷</w:t>
            </w:r>
            <w:r/>
          </w:p>
          <w:p>
            <w:pPr>
              <w:numPr>
                <w:ilvl w:val="0"/>
                <w:numId w:val="5"/>
              </w:numPr>
              <w:ind w:left="0" w:right="0"/>
              <w:jc w:val="both"/>
              <w:keepLines w:val="0"/>
              <w:keepNext w:val="0"/>
              <w:spacing w:before="0" w:beforeAutospacing="0" w:after="0" w:afterAutospacing="0"/>
              <w:widowControl w:val="off"/>
              <w:rPr>
                <w:rFonts w:hint="default" w:ascii="宋体" w:hAnsi="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型号规格：400*350*150mm</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 w:bidi="ar-SA"/>
              </w:rPr>
              <w:t xml:space="preserve">套</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1</w:t>
            </w:r>
            <w:r/>
          </w:p>
        </w:tc>
      </w:tr>
      <w:tr>
        <w:trPr>
          <w:jc w:val="center"/>
          <w:trHeight w:val="530"/>
        </w:trPr>
        <w:tc>
          <w:tcPr>
            <w:tcW w:w="82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CN"/>
              </w:rPr>
              <w:t xml:space="preserve">29</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en-US" w:bidi="ar-SA"/>
              </w:rPr>
              <w:suppressLineNumbers w:val="0"/>
            </w:pPr>
            <w:r>
              <w:rPr>
                <w:rFonts w:hint="eastAsia" w:ascii="宋体" w:hAnsi="宋体" w:eastAsia="宋体" w:cs="宋体"/>
                <w:color w:val="000000"/>
                <w:sz w:val="22"/>
                <w:szCs w:val="22"/>
                <w:highlight w:val="none"/>
              </w:rPr>
              <w:t xml:space="preserve">灯具</w:t>
            </w:r>
            <w:r/>
          </w:p>
        </w:tc>
        <w:tc>
          <w:tcPr>
            <w:tcW w:w="454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LED，48w，直径45cm</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套</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1</w:t>
            </w:r>
            <w:r/>
          </w:p>
        </w:tc>
      </w:tr>
      <w:tr>
        <w:trPr>
          <w:jc w:val="center"/>
          <w:trHeight w:val="470"/>
        </w:trPr>
        <w:tc>
          <w:tcPr>
            <w:tcW w:w="82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
              </w:rPr>
              <w:t xml:space="preserve">3</w:t>
            </w:r>
            <w:r>
              <w:rPr>
                <w:rFonts w:hint="eastAsia" w:ascii="宋体" w:hAnsi="宋体" w:cs="宋体"/>
                <w:sz w:val="22"/>
                <w:szCs w:val="22"/>
                <w:highlight w:val="none"/>
                <w:lang w:val="en-US" w:eastAsia="zh-CN"/>
              </w:rPr>
              <w:t xml:space="preserve">0</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eastAsia="zh"/>
              </w:rPr>
              <w:suppressLineNumbers w:val="0"/>
            </w:pPr>
            <w:r>
              <w:rPr>
                <w:rFonts w:hint="eastAsia" w:ascii="宋体" w:hAnsi="宋体" w:eastAsia="宋体" w:cs="宋体"/>
                <w:color w:val="000000"/>
                <w:sz w:val="22"/>
                <w:szCs w:val="22"/>
                <w:highlight w:val="none"/>
                <w:lang w:eastAsia="zh"/>
              </w:rPr>
              <w:t xml:space="preserve">空气开关</w:t>
            </w:r>
            <w:r/>
          </w:p>
        </w:tc>
        <w:tc>
          <w:tcPr>
            <w:tcW w:w="454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宋体"/>
                <w:color w:val="000000"/>
                <w:sz w:val="22"/>
                <w:szCs w:val="22"/>
                <w:highlight w:val="none"/>
                <w:lang w:val="en-US" w:eastAsia="zh-CN" w:bidi="ar"/>
              </w:rPr>
              <w:suppressLineNumbers w:val="0"/>
            </w:pPr>
            <w:r>
              <w:rPr>
                <w:rFonts w:hint="eastAsia" w:ascii="宋体" w:hAnsi="宋体" w:eastAsia="宋体" w:cs="宋体"/>
                <w:color w:val="000000"/>
                <w:sz w:val="22"/>
                <w:szCs w:val="22"/>
                <w:highlight w:val="none"/>
                <w:lang w:val="en-US" w:eastAsia="zh-CN" w:bidi="ar"/>
              </w:rPr>
              <w:t xml:space="preserve">1P+N,10A</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个</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10</w:t>
            </w:r>
            <w:r/>
          </w:p>
        </w:tc>
      </w:tr>
      <w:tr>
        <w:trPr>
          <w:jc w:val="center"/>
          <w:trHeight w:val="1316"/>
        </w:trPr>
        <w:tc>
          <w:tcPr>
            <w:tcW w:w="82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2"/>
                <w:szCs w:val="22"/>
                <w:highlight w:val="none"/>
                <w:lang w:val="en-US" w:eastAsia="zh-CN"/>
              </w:rPr>
              <w:suppressLineNumbers w:val="0"/>
            </w:pPr>
            <w:r>
              <w:rPr>
                <w:rFonts w:hint="eastAsia" w:ascii="宋体" w:hAnsi="宋体" w:cs="宋体"/>
                <w:sz w:val="22"/>
                <w:szCs w:val="22"/>
                <w:highlight w:val="none"/>
                <w:lang w:val="en-US" w:eastAsia="zh"/>
              </w:rPr>
              <w:t xml:space="preserve">3</w:t>
            </w:r>
            <w:r>
              <w:rPr>
                <w:rFonts w:hint="eastAsia" w:ascii="宋体" w:hAnsi="宋体" w:cs="宋体"/>
                <w:sz w:val="22"/>
                <w:szCs w:val="22"/>
                <w:highlight w:val="none"/>
                <w:lang w:val="en-US" w:eastAsia="zh-CN"/>
              </w:rPr>
              <w:t xml:space="preserve">1</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eastAsia="zh"/>
              </w:rPr>
              <w:suppressLineNumbers w:val="0"/>
            </w:pPr>
            <w:r>
              <w:rPr>
                <w:rFonts w:hint="eastAsia" w:ascii="宋体" w:hAnsi="宋体" w:eastAsia="宋体" w:cs="宋体"/>
                <w:color w:val="000000"/>
                <w:sz w:val="22"/>
                <w:szCs w:val="22"/>
                <w:highlight w:val="none"/>
                <w:lang w:val="en-US" w:eastAsia="zh-CN"/>
              </w:rPr>
              <w:t xml:space="preserve">监控系统</w:t>
            </w:r>
            <w:r/>
          </w:p>
        </w:tc>
        <w:tc>
          <w:tcPr>
            <w:tcW w:w="454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000000"/>
                <w:sz w:val="22"/>
                <w:szCs w:val="22"/>
                <w:highlight w:val="none"/>
                <w:lang w:val="en-US" w:eastAsia="zh" w:bidi="ar"/>
              </w:rPr>
              <w:suppressLineNumbers w:val="0"/>
            </w:pPr>
            <w:r>
              <w:rPr>
                <w:rFonts w:hint="eastAsia" w:ascii="宋体" w:hAnsi="宋体" w:eastAsia="宋体" w:cs="宋体"/>
                <w:color w:val="000000"/>
                <w:sz w:val="22"/>
                <w:szCs w:val="22"/>
                <w:highlight w:val="none"/>
                <w:lang w:val="en-US" w:eastAsia="zh" w:bidi="ar"/>
              </w:rPr>
              <w:t xml:space="preserve">1、可同时输入并录制≥8 路视频信号；</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2"/>
                <w:szCs w:val="22"/>
                <w:highlight w:val="none"/>
                <w:lang w:val="en-US" w:eastAsia="zh" w:bidi="ar"/>
              </w:rPr>
              <w:suppressLineNumbers w:val="0"/>
            </w:pPr>
            <w:r>
              <w:rPr>
                <w:rFonts w:hint="eastAsia" w:ascii="宋体" w:hAnsi="宋体" w:eastAsia="宋体" w:cs="宋体"/>
                <w:color w:val="000000"/>
                <w:sz w:val="22"/>
                <w:szCs w:val="22"/>
                <w:highlight w:val="none"/>
                <w:lang w:val="en-US" w:eastAsia="zh" w:bidi="ar"/>
              </w:rPr>
              <w:t xml:space="preserve">2、彩色液晶显示屏≥32 英寸；</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2"/>
                <w:szCs w:val="22"/>
                <w:highlight w:val="none"/>
                <w:lang w:val="en-US" w:eastAsia="zh" w:bidi="ar"/>
              </w:rPr>
              <w:suppressLineNumbers w:val="0"/>
            </w:pPr>
            <w:r>
              <w:rPr>
                <w:rFonts w:hint="eastAsia" w:ascii="宋体" w:hAnsi="宋体" w:eastAsia="宋体" w:cs="宋体"/>
                <w:color w:val="000000"/>
                <w:sz w:val="22"/>
                <w:szCs w:val="22"/>
                <w:highlight w:val="none"/>
                <w:lang w:val="en-US" w:eastAsia="zh" w:bidi="ar"/>
              </w:rPr>
              <w:t xml:space="preserve">3、硬盘容量≥2TB；</w:t>
            </w:r>
            <w:r/>
          </w:p>
          <w:p>
            <w:pPr>
              <w:ind w:left="0" w:right="0" w:firstLine="0"/>
              <w:jc w:val="left"/>
              <w:keepLines w:val="0"/>
              <w:keepNext w:val="0"/>
              <w:spacing w:before="0" w:beforeAutospacing="0" w:after="0" w:afterAutospacing="0"/>
              <w:widowControl/>
              <w:rPr>
                <w:rFonts w:hint="eastAsia" w:ascii="宋体" w:hAnsi="宋体" w:eastAsia="宋体" w:cs="宋体"/>
                <w:color w:val="000000"/>
                <w:sz w:val="22"/>
                <w:szCs w:val="22"/>
                <w:highlight w:val="none"/>
                <w:lang w:val="en-US" w:eastAsia="zh" w:bidi="ar"/>
              </w:rPr>
              <w:suppressLineNumbers w:val="0"/>
            </w:pPr>
            <w:r>
              <w:rPr>
                <w:rFonts w:hint="eastAsia" w:ascii="宋体" w:hAnsi="宋体" w:eastAsia="宋体" w:cs="宋体"/>
                <w:color w:val="000000"/>
                <w:sz w:val="22"/>
                <w:szCs w:val="22"/>
                <w:highlight w:val="none"/>
                <w:lang w:val="en-US" w:eastAsia="zh" w:bidi="ar"/>
              </w:rPr>
              <w:t xml:space="preserve">4、摄像头分辨率≥400万像素。</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bidi="ar-SA"/>
              </w:rPr>
              <w:suppressLineNumbers w:val="0"/>
            </w:pPr>
            <w:r>
              <w:rPr>
                <w:rFonts w:hint="eastAsia" w:ascii="宋体" w:hAnsi="宋体" w:cs="宋体"/>
                <w:color w:val="000000"/>
                <w:sz w:val="22"/>
                <w:szCs w:val="22"/>
                <w:highlight w:val="none"/>
                <w:lang w:val="en-US" w:eastAsia="zh-CN" w:bidi="ar-SA"/>
              </w:rPr>
              <w:t xml:space="preserve">套</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color w:val="000000"/>
                <w:sz w:val="22"/>
                <w:szCs w:val="22"/>
                <w:highlight w:val="none"/>
                <w:lang w:val="en-US" w:eastAsia="zh" w:bidi="ar-SA"/>
              </w:rPr>
              <w:suppressLineNumbers w:val="0"/>
            </w:pPr>
            <w:r>
              <w:rPr>
                <w:rFonts w:hint="eastAsia" w:ascii="宋体" w:hAnsi="宋体" w:cs="宋体"/>
                <w:color w:val="000000"/>
                <w:sz w:val="22"/>
                <w:szCs w:val="22"/>
                <w:highlight w:val="none"/>
                <w:lang w:val="en-US" w:eastAsia="zh" w:bidi="ar-SA"/>
              </w:rPr>
              <w:t xml:space="preserve">1</w:t>
            </w:r>
            <w:r/>
          </w:p>
        </w:tc>
      </w:tr>
      <w:tr>
        <w:trPr>
          <w:jc w:val="center"/>
          <w:trHeight w:val="955"/>
        </w:trPr>
        <w:tc>
          <w:tcPr>
            <w:tcW w:w="82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32</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新风净化机</w:t>
            </w:r>
            <w:r/>
          </w:p>
        </w:tc>
        <w:tc>
          <w:tcPr>
            <w:tcW w:w="4545" w:type="dxa"/>
            <w:vAlign w:val="center"/>
            <w:textDirection w:val="lrTb"/>
            <w:noWrap w:val="false"/>
          </w:tcPr>
          <w:p>
            <w:pPr>
              <w:ind w:left="0" w:right="0" w:firstLine="0"/>
              <w:jc w:val="left"/>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新风量：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color w:val="000000"/>
                <w:sz w:val="22"/>
                <w:szCs w:val="22"/>
                <w:highlight w:val="none"/>
                <w:lang w:val="en-US" w:eastAsia="zh-CN"/>
              </w:rPr>
              <w:t xml:space="preserve">8000m3/h；</w:t>
            </w:r>
            <w:r/>
          </w:p>
          <w:p>
            <w:pPr>
              <w:ind w:left="0" w:right="0" w:firstLine="0"/>
              <w:jc w:val="left"/>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带初效、高效过滤器；</w:t>
            </w:r>
            <w:r/>
          </w:p>
          <w:p>
            <w:pPr>
              <w:ind w:left="0" w:right="0" w:firstLine="0"/>
              <w:jc w:val="left"/>
              <w:keepLines w:val="0"/>
              <w:keepNext w:val="0"/>
              <w:spacing w:before="0" w:beforeAutospacing="0" w:after="0" w:afterAutospacing="0"/>
              <w:rPr>
                <w:rFonts w:hint="eastAsia" w:ascii="宋体" w:hAnsi="宋体" w:eastAsia="宋体" w:cs="宋体"/>
                <w:color w:val="000000"/>
                <w:sz w:val="22"/>
                <w:szCs w:val="22"/>
                <w:highlight w:val="none"/>
                <w:lang w:val="en-US" w:eastAsia="zh"/>
              </w:rPr>
              <w:suppressLineNumbers w:val="0"/>
            </w:pPr>
            <w:r>
              <w:rPr>
                <w:rFonts w:hint="eastAsia" w:ascii="宋体" w:hAnsi="宋体" w:eastAsia="宋体" w:cs="宋体"/>
                <w:color w:val="000000"/>
                <w:sz w:val="22"/>
                <w:szCs w:val="22"/>
                <w:highlight w:val="none"/>
                <w:lang w:val="en-US" w:eastAsia="zh-CN"/>
              </w:rPr>
              <w:t xml:space="preserve">双向流全热交换。</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cs="宋体"/>
                <w:color w:val="000000"/>
                <w:sz w:val="22"/>
                <w:szCs w:val="22"/>
                <w:highlight w:val="none"/>
                <w:lang w:val="en-US" w:eastAsia="zh-CN"/>
              </w:rPr>
              <w:t xml:space="preserve">台</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
              </w:rPr>
              <w:suppressLineNumbers w:val="0"/>
            </w:pPr>
            <w:r>
              <w:rPr>
                <w:rFonts w:hint="eastAsia" w:ascii="宋体" w:hAnsi="宋体" w:eastAsia="宋体" w:cs="宋体"/>
                <w:color w:val="000000"/>
                <w:sz w:val="22"/>
                <w:szCs w:val="22"/>
                <w:highlight w:val="none"/>
                <w:lang w:val="en-US" w:eastAsia="zh"/>
              </w:rPr>
              <w:t xml:space="preserve">1</w:t>
            </w:r>
            <w:r/>
          </w:p>
        </w:tc>
      </w:tr>
      <w:tr>
        <w:trPr>
          <w:jc w:val="center"/>
          <w:trHeight w:val="455"/>
        </w:trPr>
        <w:tc>
          <w:tcPr>
            <w:tcW w:w="82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33</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风淋系统</w:t>
            </w:r>
            <w:r/>
          </w:p>
        </w:tc>
        <w:tc>
          <w:tcPr>
            <w:tcW w:w="4545" w:type="dxa"/>
            <w:vAlign w:val="center"/>
            <w:textDirection w:val="lrTb"/>
            <w:noWrap w:val="false"/>
          </w:tcPr>
          <w:p>
            <w:pPr>
              <w:ind w:left="0" w:right="0" w:firstLine="0"/>
              <w:jc w:val="left"/>
              <w:keepNext/>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尺寸：1200*1200*2180</w:t>
            </w:r>
            <w:r/>
          </w:p>
          <w:p>
            <w:pPr>
              <w:ind w:left="0" w:right="0" w:firstLine="0"/>
              <w:jc w:val="left"/>
              <w:keepLines w:val="0"/>
              <w:keepNext w:val="0"/>
              <w:spacing w:before="0" w:beforeAutospacing="0" w:after="0" w:afterAutospacing="0"/>
              <w:rPr>
                <w:rFonts w:hint="default" w:ascii="宋体" w:hAnsi="宋体" w:eastAsia="宋体" w:cs="宋体"/>
                <w:color w:val="000000"/>
                <w:sz w:val="22"/>
                <w:szCs w:val="22"/>
                <w:highlight w:val="none"/>
                <w:lang w:val="en-US" w:eastAsia="zh-CN"/>
              </w:rPr>
              <w:suppressLineNumbers w:val="0"/>
            </w:pPr>
            <w:r>
              <w:rPr>
                <w:rFonts w:hint="eastAsia" w:ascii="宋体" w:hAnsi="宋体" w:eastAsia="宋体" w:cs="宋体"/>
                <w:sz w:val="24"/>
                <w:szCs w:val="32"/>
                <w:highlight w:val="none"/>
                <w:vertAlign w:val="baseline"/>
                <w:lang w:val="en-US" w:eastAsia="zh-CN"/>
              </w:rPr>
              <w:t xml:space="preserve">循环风量：</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sz w:val="24"/>
                <w:szCs w:val="32"/>
                <w:highlight w:val="none"/>
                <w:vertAlign w:val="baseline"/>
                <w:lang w:val="en-US" w:eastAsia="zh-CN"/>
              </w:rPr>
              <w:t xml:space="preserve">800立方米/小时</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套</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w:t>
            </w:r>
            <w:r/>
          </w:p>
        </w:tc>
      </w:tr>
      <w:tr>
        <w:trPr>
          <w:jc w:val="center"/>
          <w:trHeight w:val="455"/>
        </w:trPr>
        <w:tc>
          <w:tcPr>
            <w:tcW w:w="823"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color w:val="000000"/>
                <w:sz w:val="22"/>
                <w:szCs w:val="22"/>
                <w:highlight w:val="none"/>
                <w:lang w:val="en-US" w:eastAsia="zh-CN"/>
              </w:rPr>
              <w:suppressLineNumbers w:val="0"/>
            </w:pPr>
            <w:r>
              <w:rPr>
                <w:rFonts w:hint="eastAsia" w:ascii="宋体" w:hAnsi="宋体" w:cs="宋体"/>
                <w:color w:val="000000"/>
                <w:sz w:val="22"/>
                <w:szCs w:val="22"/>
                <w:highlight w:val="none"/>
                <w:lang w:val="en-US" w:eastAsia="zh-CN"/>
              </w:rPr>
              <w:t xml:space="preserve">34</w:t>
            </w:r>
            <w:r/>
          </w:p>
        </w:tc>
        <w:tc>
          <w:tcPr>
            <w:tcW w:w="205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病床</w:t>
            </w:r>
            <w:r/>
          </w:p>
        </w:tc>
        <w:tc>
          <w:tcPr>
            <w:tcW w:w="4545" w:type="dxa"/>
            <w:vAlign w:val="center"/>
            <w:textDirection w:val="lrTb"/>
            <w:noWrap w:val="false"/>
          </w:tcPr>
          <w:p>
            <w:pPr>
              <w:ind w:left="0" w:right="0" w:firstLine="0"/>
              <w:jc w:val="left"/>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 w:bidi="ar"/>
              </w:rPr>
              <w:t xml:space="preserve">≥</w:t>
            </w:r>
            <w:r>
              <w:rPr>
                <w:rFonts w:hint="eastAsia" w:ascii="宋体" w:hAnsi="宋体" w:eastAsia="宋体" w:cs="宋体"/>
                <w:color w:val="000000"/>
                <w:sz w:val="22"/>
                <w:szCs w:val="22"/>
                <w:highlight w:val="none"/>
                <w:lang w:val="en-US" w:eastAsia="zh-CN"/>
              </w:rPr>
              <w:t xml:space="preserve">1000*2000mm</w:t>
            </w:r>
            <w:r/>
          </w:p>
          <w:p>
            <w:pPr>
              <w:ind w:left="0" w:right="0" w:firstLine="0"/>
              <w:jc w:val="left"/>
              <w:keepLines w:val="0"/>
              <w:keepNext w:val="0"/>
              <w:spacing w:before="0" w:beforeAutospacing="0" w:after="0" w:afterAutospacing="0"/>
              <w:rPr>
                <w:rFonts w:hint="eastAsia" w:ascii="宋体" w:hAnsi="宋体" w:eastAsia="宋体" w:cs="宋体"/>
                <w:sz w:val="24"/>
                <w:szCs w:val="32"/>
                <w:highlight w:val="none"/>
                <w:vertAlign w:val="baseline"/>
                <w:lang w:val="en-US" w:eastAsia="zh-CN"/>
              </w:rPr>
              <w:suppressLineNumbers w:val="0"/>
            </w:pPr>
            <w:r>
              <w:rPr>
                <w:rFonts w:hint="eastAsia" w:ascii="宋体" w:hAnsi="宋体" w:eastAsia="宋体" w:cs="宋体"/>
                <w:color w:val="000000"/>
                <w:sz w:val="22"/>
                <w:szCs w:val="22"/>
                <w:highlight w:val="none"/>
                <w:lang w:val="en-US" w:eastAsia="zh-CN"/>
              </w:rPr>
              <w:t xml:space="preserve">2,手动摇起</w:t>
            </w:r>
            <w:r/>
          </w:p>
        </w:tc>
        <w:tc>
          <w:tcPr>
            <w:tcW w:w="99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张</w:t>
            </w:r>
            <w:r/>
          </w:p>
        </w:tc>
        <w:tc>
          <w:tcPr>
            <w:tcW w:w="11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1</w:t>
            </w:r>
            <w:r/>
          </w:p>
        </w:tc>
      </w:tr>
    </w:tbl>
    <w:p>
      <w:pPr>
        <w:numPr>
          <w:ilvl w:val="0"/>
          <w:numId w:val="0"/>
        </w:numPr>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注：一、</w:t>
      </w:r>
      <w:r>
        <w:rPr>
          <w:rFonts w:hint="eastAsia" w:ascii="宋体" w:hAnsi="宋体" w:eastAsia="宋体" w:cs="宋体"/>
          <w:b w:val="0"/>
          <w:bCs w:val="0"/>
          <w:color w:val="auto"/>
          <w:sz w:val="24"/>
          <w:szCs w:val="24"/>
          <w:highlight w:val="none"/>
        </w:rPr>
        <w:t xml:space="preserve">产品安装完成后符合国家相关医疗行业标准。</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本项目预算含以上所有物品及配套安装。（提供承诺书） </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所有物品及辅材均为市场主流品牌。（提供承诺书）</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四、服务内容要求</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人对供应商提供的货物在进行使用前调试时，供应商需为采购人提供使用操作培训，保证受训人员能对设备进行熟练操作及日常维护；为采购人维修工程师提供技术培训，直至其具备保障设备正常运行和排除一般性故障的能力。并协助采购人调试，直到符合技术要求，采购人才做最终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2、如在质保期内出现质量问题，供应商须在接到通知后2小时内响应，24小时内到场维修，并承担相关费用。</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3、如设备在质保期内因同一故障经供应商两次维修仍不能达到合同约定的技术要求及国家法律法规规定的质量标准，采购人有权要求供应商更换全新设备或退货，并追究供应商违约责任。</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4、质保期内，设备因自身故障导致的停机率不应超过5%（一年按365天计算），否则供应商应就超出部分（供应商已提供备用机并保障采购人正常使用的时间，不计算为停机时间）按天数向采购人赔偿经济损失。</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5、质保期内，如设备因维修无法使用，供应商应根据采购人需要向采购人提供备用设备。</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6、供应商须指派专人负责与采购人联系售后服务事宜。</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五、履约验收方案</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1、验收组织方式：自行验收，可邀请本项目的其他供应商参加。</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2、履约验收程序：一次性验收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3、履约验收时间：供应商完成本项目涉及的所有设备的安装、调试并具备验收条件后，于5日内通知采购人验收，采购人接供应商通知后10日内组织验收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4、验收组织的其他事项：</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验收方式说明：现场整体验收。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5、技术履约验收内容：</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按照基于本项目采购需求编制的采购文件要求及中标供应商投标文件情况，由中标供应商向采购人交付的全部内容。</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6、商务履约验收内容：</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基于本项目采购需求编制的采购文件要求及中标供应商投标文件情况，由中标供应商向采购人交付的全部内容。投标人须在投标文件中单独提供配置清单（不同产品分别提供），并保证清单中的组件名称、型号与生产厂家技术资料（医疗器械注册证、说明书、装箱清单、技术白皮书等，至少其中之一）相符合，采购人将以此为依据进行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7、履约验收标准：</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（1）国家相关法律法规、行业标准、技术规范。 </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（2）基于本项目采购需求编制的采购文件相关技术、服务要求、中标供应商投标文件相关响应内容。 </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（3）产品生产厂家出具的产品说明书、技术白皮书、医疗器械注册证或备案凭证等官方技术资料（如涉及）。</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（4）如验收时，采购人与供应商认为本项目验收标准中的技术指标、质量要求等内容存在相互抵触或对其理解存在异议，应按照其中更严格的要求、标准等进行验收。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（5）按照《财政部关于进一步加强政府采购需求和履约验收管理的指导意见》（财库〔2016〕205号）的要求进行验收。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六、合同履行期限：签订合同后 20 日历天内完成所需设备的采购、供应、运输、安装、调试等相关伴随服务，并通过采购人的验收；</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七、质保期：不少于三年（含设备免费维护保养）。</w:t>
      </w:r>
      <w:r/>
    </w:p>
    <w:p>
      <w:pPr>
        <w:spacing w:before="282" w:line="219"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before="282" w:line="219"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before="282" w:line="219"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before="282" w:line="219"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before="282" w:line="219"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highlight w:val="none"/>
          <w:lang w:val="en-US" w:eastAsia="zh-CN"/>
        </w:rPr>
      </w:pPr>
      <w:r>
        <w:rPr>
          <w:rFonts w:hint="eastAsia"/>
          <w:highlight w:val="none"/>
          <w:lang w:val="en-US" w:eastAsia="zh-CN"/>
        </w:rPr>
      </w:r>
      <w:r/>
    </w:p>
    <w:p>
      <w:pPr>
        <w:pStyle w:val="767"/>
        <w:rPr>
          <w:rFonts w:hint="eastAsia"/>
          <w:highlight w:val="none"/>
          <w:lang w:val="en-US" w:eastAsia="zh-CN"/>
        </w:rPr>
      </w:pPr>
      <w:r>
        <w:rPr>
          <w:rFonts w:hint="eastAsia"/>
          <w:highlight w:val="none"/>
          <w:lang w:val="en-US" w:eastAsia="zh-CN"/>
        </w:rPr>
      </w:r>
      <w:r/>
    </w:p>
    <w:p>
      <w:pPr>
        <w:spacing w:before="282" w:line="219" w:lineRule="auto"/>
        <w:rPr>
          <w:rFonts w:hint="eastAsia" w:ascii="宋体" w:hAnsi="宋体" w:eastAsia="宋体" w:cs="宋体"/>
          <w:b/>
          <w:bCs/>
          <w:color w:val="auto"/>
          <w:sz w:val="24"/>
          <w:szCs w:val="24"/>
          <w:highlight w:val="none"/>
          <w:lang w:val="en-US" w:eastAsia="zh-Hans"/>
        </w:rPr>
      </w:pPr>
      <w:r>
        <w:rPr>
          <w:rFonts w:hint="eastAsia" w:ascii="宋体" w:hAnsi="宋体" w:eastAsia="宋体" w:cs="宋体"/>
          <w:b/>
          <w:bCs/>
          <w:color w:val="auto"/>
          <w:sz w:val="24"/>
          <w:szCs w:val="24"/>
          <w:highlight w:val="none"/>
          <w:lang w:val="en-US" w:eastAsia="zh-CN"/>
        </w:rPr>
        <w:t xml:space="preserve">移植舱</w:t>
      </w:r>
      <w:r>
        <w:rPr>
          <w:rFonts w:hint="eastAsia" w:ascii="宋体" w:hAnsi="宋体" w:eastAsia="宋体" w:cs="宋体"/>
          <w:b/>
          <w:bCs/>
          <w:color w:val="auto"/>
          <w:sz w:val="24"/>
          <w:szCs w:val="24"/>
          <w:highlight w:val="none"/>
          <w:lang w:val="en-US" w:eastAsia="zh-Hans"/>
        </w:rPr>
        <w:t xml:space="preserve">计划安装位置参考图示（仅供参考）：</w:t>
      </w:r>
      <w:r/>
    </w:p>
    <w:p>
      <w:pPr>
        <w:pStyle w:val="786"/>
        <w:jc w:val="center"/>
        <w:spacing w:line="259" w:lineRule="auto"/>
        <w:rPr>
          <w:rFonts w:hint="eastAsia" w:eastAsia="宋体"/>
          <w:highlight w:val="none"/>
          <w:lang w:eastAsia="zh-CN"/>
        </w:rPr>
      </w:pPr>
      <w:r>
        <w:rPr>
          <w:rFonts w:hint="eastAsia" w:eastAsia="宋体"/>
          <w:highlight w:val="none"/>
          <w:lang w:eastAsia="zh-CN"/>
        </w:rPr>
        <mc:AlternateContent>
          <mc:Choice Requires="wpg">
            <w:drawing>
              <wp:inline xmlns:wp="http://schemas.openxmlformats.org/drawingml/2006/wordprocessingDrawing" distT="0" distB="0" distL="0" distR="0">
                <wp:extent cx="4128770" cy="5659755"/>
                <wp:effectExtent l="0" t="0" r="5080" b="17145"/>
                <wp:docPr id="4" name="图片 1" descr="大丰新风25111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丰新风251117_01"/>
                        <pic:cNvPicPr>
                          <a:picLocks noChangeAspect="1"/>
                        </pic:cNvPicPr>
                        <pic:nvPr/>
                      </pic:nvPicPr>
                      <pic:blipFill>
                        <a:blip r:embed="rId17">
                          <a:lum bright="-6000"/>
                        </a:blip>
                        <a:srcRect l="5322" t="4599" r="6027" b="9510"/>
                        <a:stretch/>
                      </pic:blipFill>
                      <pic:spPr bwMode="auto">
                        <a:xfrm>
                          <a:off x="0" y="0"/>
                          <a:ext cx="4128770" cy="5659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5.1pt;height:445.6pt;mso-wrap-distance-left:0.0pt;mso-wrap-distance-top:0.0pt;mso-wrap-distance-right:0.0pt;mso-wrap-distance-bottom:0.0pt;" stroked="f">
                <v:path textboxrect="0,0,0,0"/>
                <v:imagedata r:id="rId17" o:title=""/>
              </v:shape>
            </w:pict>
          </mc:Fallback>
        </mc:AlternateContent>
      </w:r>
      <w:r/>
    </w:p>
    <w:p>
      <w:pPr>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r>
      <w:r/>
    </w:p>
    <w:p>
      <w:pPr>
        <w:jc w:val="both"/>
        <w:rPr>
          <w:rFonts w:hint="eastAsia" w:ascii="宋体" w:hAnsi="宋体" w:eastAsia="宋体" w:cs="宋体"/>
          <w:sz w:val="18"/>
          <w:szCs w:val="18"/>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宋体"/>
          <w:sz w:val="18"/>
          <w:szCs w:val="18"/>
          <w:highlight w:val="none"/>
        </w:rPr>
      </w:r>
      <w:r/>
    </w:p>
    <w:p>
      <w:pPr>
        <w:jc w:val="center"/>
        <w:rPr>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第四章  评标办法及评分标准</w:t>
      </w:r>
      <w:bookmarkEnd w:id="174"/>
      <w:r/>
      <w:bookmarkEnd w:id="175"/>
      <w:r/>
      <w:bookmarkEnd w:id="176"/>
      <w:r/>
      <w:bookmarkEnd w:id="17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Courier New"/>
          <w:b/>
          <w:bCs/>
          <w:color w:val="000000" w:themeColor="text1"/>
          <w:highlight w:val="none"/>
          <w14:textFill>
            <w14:solidFill>
              <w14:schemeClr w14:val="tx1"/>
            </w14:solidFill>
          </w14:textFill>
        </w:rPr>
      </w:pPr>
      <w:r>
        <w:rPr>
          <w:rFonts w:hint="eastAsia" w:ascii="宋体" w:hAnsi="宋体" w:cs="Courier New"/>
          <w:b/>
          <w:bCs/>
          <w:color w:val="000000" w:themeColor="text1"/>
          <w:highlight w:val="none"/>
          <w14:textFill>
            <w14:solidFill>
              <w14:schemeClr w14:val="tx1"/>
            </w14:solidFill>
          </w14:textFill>
        </w:rPr>
        <w:t xml:space="preserve">一、定标原则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1057"/>
        <w:keepLines w:val="0"/>
        <w:keepNext w:val="0"/>
        <w:spacing w:before="0"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二、对投标文件的初审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投标文件初审分为资格审查和符合性审查。</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2.1资格审查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开标结束后，采购人或者采购代理机构依法对投标人的资格进行审查。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2.2符合性审查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1.评标委员会对符合资格的投标人的投标文件进行符合性审查。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3.明确响应的投标应该是与招标文件要求的全部条款、条件和规格相符，没有重大偏离或保留的投标。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5.如果标文件没有明确响应招标文件的要求，评标委员会将按无效投标处理，投标人不得通过修改或撤销不合要求的偏离或保留而使其投标成为明确响应的投标。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7.投标文件中开标一览表内容与投标文件中相应内容不一致的，以开标一览表为准；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8.大写金额和小写金额不一致的，以大写金额为准；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9.单价金额小数点或者百分比有明显错位的，以开标一览表的总价为准，并修改单价；</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10.总价金额与按单价汇总金额不一致的，以单价金额计算结果为准。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评分标准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3.1政府采购政策功能落实</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3.1.1、小微型企业价格扣除</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（1）本项目对所投产品制造商为小型和微型企业给予20%的扣除价格，用扣除后的价格参与评审。</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（2）供应商需按照采购文件的要求提供相应的《企业声明函》。</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3.1.2、残疾人福利单位价格扣除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3.1.3、监狱和戒毒企业价格扣除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符合本采购文件优先采购 “环境标志产品”或“节能产品”的；必须提供“环境标志产品”或“节能产品”证明，否则不予认可。</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bl>
      <w:tblPr>
        <w:tblStyle w:val="777"/>
        <w:tblpPr w:horzAnchor="page" w:tblpX="840" w:vertAnchor="text" w:tblpY="466" w:leftFromText="180" w:topFromText="0" w:rightFromText="180" w:bottomFromText="0"/>
        <w:tblW w:w="10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958"/>
        <w:gridCol w:w="7970"/>
      </w:tblGrid>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评分标准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投标报价</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满足招标文件要求且投标价格最低的投标报价为评标基准价，投标报价得分=（评标基准价／投标报价）×30，计算分数时四舍五入取小数点后两位。</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注：1、评审过程中出现下列情形之一的，评审委员会应当启动异常低价投标(响应)审查程序:</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（1）投标(响应)报价低于采购项目预算50%的，即投标(响应)报价&lt;采购项目预算x50%;</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（2）投标(响应)报价低于采购项目最高限价45%的，即投标(响应)报价&lt;采购项目最高限价x45%;</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技术参数</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sz w:val="20"/>
                <w:szCs w:val="20"/>
                <w:highlight w:val="none"/>
                <w:lang w:val="en-US" w:eastAsia="zh-CN" w:bidi="ar-SA"/>
                <w14:textFill>
                  <w14:solidFill>
                    <w14:schemeClr w14:val="tx1"/>
                  </w14:solidFill>
                </w14:textFill>
              </w:rPr>
              <w:t xml:space="preserve">投标人所投产品的技术参数和性能指标全部满足或优于招标文件要求的，得满分</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40</w:t>
            </w:r>
            <w:r>
              <w:rPr>
                <w:rFonts w:hint="default" w:ascii="宋体" w:hAnsi="宋体" w:eastAsia="宋体" w:cs="宋体"/>
                <w:color w:val="000000" w:themeColor="text1"/>
                <w:sz w:val="20"/>
                <w:szCs w:val="20"/>
                <w:highlight w:val="none"/>
                <w:lang w:val="en-US" w:eastAsia="zh-CN" w:bidi="ar-SA"/>
                <w14:textFill>
                  <w14:solidFill>
                    <w14:schemeClr w14:val="tx1"/>
                  </w14:solidFill>
                </w14:textFill>
              </w:rPr>
              <w:t xml:space="preserve">分。每有一项负偏离扣</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0"/>
                <w:szCs w:val="20"/>
                <w:highlight w:val="none"/>
                <w:lang w:val="en-US" w:eastAsia="zh-CN" w:bidi="ar-SA"/>
                <w14:textFill>
                  <w14:solidFill>
                    <w14:schemeClr w14:val="tx1"/>
                  </w14:solidFill>
                </w14:textFill>
              </w:rPr>
              <w:t xml:space="preserve">分，扣完为止。虚假响应招标参数的文件，一经查出，以废标处理，并承担因此造成的招标人所有损失。</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zh-CN" w:eastAsia="zh-CN" w:bidi="ar-SA"/>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供货、安装方案：包括但不限于准备工作、项目前期供货的整体计划、项目供货的择优保障措施等方面进行评审。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货物包装、运输方案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both"/>
              <w:keepLines w:val="0"/>
              <w:keepNext w:val="0"/>
              <w:pageBreakBefore w:val="0"/>
              <w:spacing w:line="240" w:lineRule="auto"/>
              <w:rPr>
                <w:rFonts w:hint="default" w:ascii="宋体" w:hAnsi="Calibri" w:cs="宋体"/>
                <w:color w:val="000000" w:themeColor="text1"/>
                <w:sz w:val="20"/>
                <w:szCs w:val="20"/>
                <w:highlight w:val="none"/>
                <w14:textFill>
                  <w14:solidFill>
                    <w14:schemeClr w14:val="tx1"/>
                  </w14:solidFill>
                </w14:textFill>
              </w:rPr>
            </w:pPr>
            <w:r>
              <w:rPr>
                <w:rFonts w:hint="default" w:ascii="宋体" w:hAnsi="Calibri" w:cs="宋体"/>
                <w:color w:val="000000" w:themeColor="text1"/>
                <w:sz w:val="20"/>
                <w:szCs w:val="20"/>
                <w:highlight w:val="none"/>
                <w14:textFill>
                  <w14:solidFill>
                    <w14:schemeClr w14:val="tx1"/>
                  </w14:solidFill>
                </w14:textFill>
              </w:rPr>
            </w:r>
            <w:r/>
          </w:p>
          <w:p>
            <w:pPr>
              <w:jc w:val="center"/>
              <w:keepLines w:val="0"/>
              <w:keepNext w:val="0"/>
              <w:pageBreakBefore w:val="0"/>
              <w:spacing w:line="240" w:lineRule="auto"/>
              <w:rPr>
                <w:rFonts w:hint="eastAsia" w:ascii="宋体" w:hAnsi="Calibri" w:eastAsia="宋体" w:cs="宋体"/>
                <w:color w:val="000000" w:themeColor="text1"/>
                <w:sz w:val="20"/>
                <w:szCs w:val="20"/>
                <w:highlight w:val="none"/>
                <w:lang w:val="en-US" w:eastAsia="zh-CN" w:bidi="ar-SA"/>
                <w14:textFill>
                  <w14:solidFill>
                    <w14:schemeClr w14:val="tx1"/>
                  </w14:solidFill>
                </w14:textFill>
              </w:rPr>
            </w:pPr>
            <w:r>
              <w:rPr>
                <w:rFonts w:hint="eastAsia" w:ascii="宋体" w:hAnsi="Calibri" w:cs="宋体"/>
                <w:color w:val="000000" w:themeColor="text1"/>
                <w:sz w:val="20"/>
                <w:szCs w:val="20"/>
                <w:highlight w:val="none"/>
                <w:lang w:val="en-US" w:eastAsia="zh-CN"/>
                <w14:textFill>
                  <w14:solidFill>
                    <w14:schemeClr w14:val="tx1"/>
                  </w14:solidFill>
                </w14:textFill>
              </w:rPr>
              <w:t xml:space="preserve">5</w:t>
            </w:r>
            <w:r>
              <w:rPr>
                <w:rFonts w:hint="eastAsia" w:ascii="宋体" w:hAnsi="Calibri" w:cs="宋体"/>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货物包装方案及运输方案，方案需适应运输和多次搬运，保证在运输、装卸过程中完好无损，防潮、防霉等方面进行评审。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质量保证措施</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5</w:t>
            </w:r>
            <w:r>
              <w:rPr>
                <w:rFonts w:hint="eastAsia" w:ascii="宋体" w:hAnsi="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提供的针对</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本项目招标</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需求制定质量保证及措施方案等方面进行评审。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产品培训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5</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提供的培训内容的针对性、培训方案的可行性、培训保障配套方案</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售后响应能力</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5</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完备的售后服务方案及保障措施，评标委员会根据售后服务内容、售后服务响应时间及方式、质保内容等方面进行评审。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both"/>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b/>
                <w:color w:val="000000" w:themeColor="text1"/>
                <w:sz w:val="20"/>
                <w:szCs w:val="21"/>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提供</w:t>
            </w:r>
            <w:r>
              <w:rPr>
                <w:rFonts w:hint="eastAsia" w:ascii="宋体" w:hAnsi="宋体" w:cs="Times New Roman"/>
                <w:color w:val="000000" w:themeColor="text1"/>
                <w:sz w:val="20"/>
                <w:szCs w:val="20"/>
                <w:highlight w:val="none"/>
                <w14:textFill>
                  <w14:solidFill>
                    <w14:schemeClr w14:val="tx1"/>
                  </w14:solidFill>
                </w14:textFill>
              </w:rPr>
              <w:t xml:space="preserve">202</w:t>
            </w:r>
            <w:r>
              <w:rPr>
                <w:rFonts w:hint="default" w:ascii="宋体" w:hAnsi="宋体" w:cs="Times New Roman"/>
                <w:color w:val="000000" w:themeColor="text1"/>
                <w:sz w:val="20"/>
                <w:szCs w:val="20"/>
                <w:highlight w:val="none"/>
                <w:lang w:val="en-US"/>
                <w14:textFill>
                  <w14:solidFill>
                    <w14:schemeClr w14:val="tx1"/>
                  </w14:solidFill>
                </w14:textFill>
              </w:rPr>
              <w:t xml:space="preserve">2</w:t>
            </w:r>
            <w:r>
              <w:rPr>
                <w:rFonts w:hint="eastAsia" w:ascii="宋体" w:hAnsi="宋体" w:cs="Times New Roman"/>
                <w:color w:val="000000" w:themeColor="text1"/>
                <w:sz w:val="20"/>
                <w:szCs w:val="20"/>
                <w:highlight w:val="none"/>
                <w14:textFill>
                  <w14:solidFill>
                    <w14:schemeClr w14:val="tx1"/>
                  </w14:solidFill>
                </w14:textFill>
              </w:rPr>
              <w:t xml:space="preserve">年1月</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1日</w:t>
            </w:r>
            <w:r>
              <w:rPr>
                <w:rFonts w:hint="eastAsia" w:ascii="宋体" w:hAnsi="宋体" w:cs="Times New Roman"/>
                <w:color w:val="000000" w:themeColor="text1"/>
                <w:sz w:val="20"/>
                <w:szCs w:val="20"/>
                <w:highlight w:val="none"/>
                <w14:textFill>
                  <w14:solidFill>
                    <w14:schemeClr w14:val="tx1"/>
                  </w14:solidFill>
                </w14:textFill>
              </w:rPr>
              <w:t xml:space="preserve">以来</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类似项目</w:t>
            </w:r>
            <w:r>
              <w:rPr>
                <w:rFonts w:hint="eastAsia" w:ascii="宋体" w:hAnsi="宋体" w:cs="Times New Roman"/>
                <w:color w:val="000000" w:themeColor="text1"/>
                <w:sz w:val="20"/>
                <w:szCs w:val="20"/>
                <w:highlight w:val="none"/>
                <w14:textFill>
                  <w14:solidFill>
                    <w14:schemeClr w14:val="tx1"/>
                  </w14:solidFill>
                </w14:textFill>
              </w:rPr>
              <w:t xml:space="preserve">的相关业绩</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需</w:t>
            </w:r>
            <w:r>
              <w:rPr>
                <w:rFonts w:hint="eastAsia" w:ascii="宋体" w:hAnsi="宋体" w:cs="Times New Roman"/>
                <w:b w:val="0"/>
                <w:bCs w:val="0"/>
                <w:color w:val="000000" w:themeColor="text1"/>
                <w:sz w:val="20"/>
                <w:szCs w:val="20"/>
                <w:highlight w:val="none"/>
                <w:lang w:val="en-US" w:eastAsia="zh-CN"/>
                <w14:textFill>
                  <w14:solidFill>
                    <w14:schemeClr w14:val="tx1"/>
                  </w14:solidFill>
                </w14:textFill>
              </w:rPr>
              <w:t xml:space="preserve">包含移动式移植仓</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14:textFill>
                  <w14:solidFill>
                    <w14:schemeClr w14:val="tx1"/>
                  </w14:solidFill>
                </w14:textFill>
              </w:rPr>
              <w:t xml:space="preserve">，每提供一个合同得</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w:t>
            </w:r>
            <w:r>
              <w:rPr>
                <w:rFonts w:hint="eastAsia" w:ascii="宋体" w:hAnsi="宋体" w:cs="Times New Roman"/>
                <w:color w:val="000000" w:themeColor="text1"/>
                <w:sz w:val="20"/>
                <w:szCs w:val="20"/>
                <w:highlight w:val="none"/>
                <w14:textFill>
                  <w14:solidFill>
                    <w14:schemeClr w14:val="tx1"/>
                  </w14:solidFill>
                </w14:textFill>
              </w:rPr>
              <w:t xml:space="preserve">分，满分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cs="Times New Roman"/>
                <w:color w:val="000000" w:themeColor="text1"/>
                <w:sz w:val="20"/>
                <w:szCs w:val="20"/>
                <w:highlight w:val="none"/>
                <w14:textFill>
                  <w14:solidFill>
                    <w14:schemeClr w14:val="tx1"/>
                  </w14:solidFill>
                </w14:textFill>
              </w:rPr>
              <w:t xml:space="preserve">分。</w:t>
            </w:r>
            <w:r>
              <w:rPr>
                <w:rFonts w:hint="eastAsia" w:ascii="宋体" w:hAnsi="宋体" w:cs="Times New Roman"/>
                <w:b/>
                <w:color w:val="000000" w:themeColor="text1"/>
                <w:sz w:val="20"/>
                <w:szCs w:val="20"/>
                <w:highlight w:val="none"/>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合同原件</w:t>
            </w:r>
            <w:r>
              <w:rPr>
                <w:rFonts w:hint="eastAsia" w:ascii="宋体" w:hAnsi="宋体" w:cs="宋体"/>
                <w:b/>
                <w:color w:val="000000" w:themeColor="text1"/>
                <w:sz w:val="20"/>
                <w:szCs w:val="20"/>
                <w:highlight w:val="none"/>
                <w14:textFill>
                  <w14:solidFill>
                    <w14:schemeClr w14:val="tx1"/>
                  </w14:solidFill>
                </w14:textFill>
              </w:rPr>
              <w:t xml:space="preserve">扫描上传并加盖供应商公章</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所提供的合同须完整。</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提供的</w:t>
            </w:r>
            <w:r>
              <w:rPr>
                <w:rFonts w:hint="eastAsia" w:ascii="宋体" w:hAnsi="Calibri" w:cs="宋体"/>
                <w:b/>
                <w:color w:val="000000" w:themeColor="text1"/>
                <w:sz w:val="20"/>
                <w:szCs w:val="20"/>
                <w:highlight w:val="none"/>
                <w14:textFill>
                  <w14:solidFill>
                    <w14:schemeClr w14:val="tx1"/>
                  </w14:solidFill>
                </w14:textFill>
              </w:rPr>
              <w:t xml:space="preserve">合同</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必须真实有效</w:t>
            </w:r>
            <w:r>
              <w:rPr>
                <w:rFonts w:hint="eastAsia" w:ascii="宋体" w:hAnsi="Calibri" w:cs="宋体"/>
                <w:b/>
                <w:color w:val="000000" w:themeColor="text1"/>
                <w:sz w:val="20"/>
                <w:szCs w:val="20"/>
                <w:highlight w:val="none"/>
                <w14:textFill>
                  <w14:solidFill>
                    <w14:schemeClr w14:val="tx1"/>
                  </w14:solidFill>
                </w14:textFill>
              </w:rPr>
              <w:t xml:space="preserve">，</w:t>
            </w:r>
            <w:r>
              <w:rPr>
                <w:rFonts w:hint="eastAsia" w:ascii="Calibri" w:hAnsi="Calibri" w:cs="Times New Roman"/>
                <w:b/>
                <w:color w:val="000000" w:themeColor="text1"/>
                <w:sz w:val="20"/>
                <w:szCs w:val="20"/>
                <w:highlight w:val="none"/>
                <w14:textFill>
                  <w14:solidFill>
                    <w14:schemeClr w14:val="tx1"/>
                  </w14:solidFill>
                </w14:textFill>
              </w:rPr>
              <w:t xml:space="preserve">提供虚假材料者按无效投标处理。</w:t>
            </w:r>
            <w:r>
              <w:rPr>
                <w:rFonts w:hint="eastAsia" w:ascii="宋体" w:hAnsi="宋体" w:cs="Times New Roman"/>
                <w:b/>
                <w:color w:val="000000" w:themeColor="text1"/>
                <w:sz w:val="20"/>
                <w:szCs w:val="20"/>
                <w:highlight w:val="none"/>
                <w14:textFill>
                  <w14:solidFill>
                    <w14:schemeClr w14:val="tx1"/>
                  </w14:solidFill>
                </w14:textFill>
              </w:rPr>
              <w:t xml:space="preserve">）</w:t>
            </w:r>
            <w:r/>
          </w:p>
        </w:tc>
      </w:tr>
      <w:tr>
        <w:trPr>
          <w:trHeight w:val="718"/>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240" w:lineRule="auto"/>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本项目质保期要求三年，投标人投标时承诺质保期每增加一年的加1分，最多得2分。承诺格式自拟。</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eastAsia="zh-CN"/>
                <w14:textFill>
                  <w14:solidFill>
                    <w14:schemeClr w14:val="tx1"/>
                  </w14:solidFill>
                </w14:textFill>
              </w:rPr>
              <w:t xml:space="preserve">信用承诺书</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top"/>
            <w:textDirection w:val="lrTb"/>
            <w:noWrap w:val="false"/>
          </w:tcPr>
          <w:p>
            <w:pPr>
              <w:jc w:val="left"/>
              <w:keepLines w:val="0"/>
              <w:keepNext w:val="0"/>
              <w:pageBreakBefore w:val="0"/>
              <w:spacing w:line="360" w:lineRule="auto"/>
              <w:widowControl/>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投标文件中提供《盐城市政府采购事前信用承诺书》的得 1 分，未提供的不得分。</w:t>
            </w:r>
            <w:r/>
          </w:p>
        </w:tc>
      </w:tr>
    </w:tbl>
    <w:p>
      <w:pPr>
        <w:spacing w:line="360" w:lineRule="auto"/>
        <w:rPr>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 xml:space="preserve">3.2、评标标准</w:t>
      </w:r>
      <w:r/>
    </w:p>
    <w:p>
      <w:pPr>
        <w:jc w:val="left"/>
        <w:spacing w:line="360" w:lineRule="auto"/>
        <w:rPr>
          <w:rFonts w:ascii="宋体" w:hAnsi="Calibri" w:cs="宋体"/>
          <w:color w:val="000000" w:themeColor="text1"/>
          <w:sz w:val="24"/>
          <w:highlight w:val="none"/>
          <w14:textFill>
            <w14:solidFill>
              <w14:schemeClr w14:val="tx1"/>
            </w14:solidFill>
          </w14:textFill>
        </w:rPr>
      </w:pPr>
      <w:r>
        <w:rPr>
          <w:rFonts w:ascii="宋体" w:hAnsi="Calibri" w:cs="宋体"/>
          <w:color w:val="000000" w:themeColor="text1"/>
          <w:sz w:val="24"/>
          <w:highlight w:val="none"/>
          <w14:textFill>
            <w14:solidFill>
              <w14:schemeClr w14:val="tx1"/>
            </w14:solidFill>
          </w14:textFill>
        </w:rPr>
      </w:r>
      <w:r/>
    </w:p>
    <w:p>
      <w:pPr>
        <w:ind w:firstLine="442"/>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四、评标程序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评标准备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评标委员会成员到达评标现场时应在签到表上签到（或通过门禁系统签到）以证明其出席。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评标委员会成员首先推选一名评标委员会负责人，负责评标活动的组织领导工作。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4.2.1评标委员会依据本章第2.1 款规定的标准对投标文件进行初步评审。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(1）投标文件中的大写金额与小写金额不一致的，以大写金额为准；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4.2.5只有通过初步评审的投标文件才能进入详细评审。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4.3.2 评标委员会按本章第2.2款规定的量化因素和分值进行打分，并计算出综合评估得分。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4.3.3 评分分值计算保留小数点后两位，小数点后第三位“四舍五入”。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 投标文件的澄清和补正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4.4.3 评标委员会对投标人提交的澄清、说明或补正有疑问的，可以要求投标人进一步澄清、说明或补正。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 推荐中标候选人或直接确定中标人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4.5.1 除投标人须知前附表授权直接确定中标人外，评标委员会在推荐中标候选人时，应遵照以下原则:</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提交评标报告 </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评标委员会完成评标后，应当向招标人提交书面评标报告。评标报告应当由全体评标委员会成员签字，并于评标结束时抄送有关行政监督部门。</w:t>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180" w:name="_Toc20823315"/>
      <w:r/>
      <w:bookmarkStart w:id="181" w:name="_Toc513029243"/>
      <w:r/>
      <w:bookmarkStart w:id="182" w:name="_Toc1236"/>
      <w:r/>
      <w:bookmarkStart w:id="183" w:name="_Toc49090576"/>
      <w:r/>
      <w:bookmarkStart w:id="184" w:name="_Toc6648"/>
      <w:r/>
      <w:bookmarkStart w:id="185" w:name="_Toc10540"/>
      <w:r/>
      <w:bookmarkStart w:id="186" w:name="_Toc26554094"/>
      <w:r/>
      <w:bookmarkStart w:id="187" w:name="_Toc120614282"/>
      <w:r/>
      <w:bookmarkStart w:id="188" w:name="_Toc16938559"/>
      <w:r>
        <w:rPr>
          <w:rFonts w:hint="eastAsia"/>
          <w:b/>
          <w:color w:val="000000" w:themeColor="text1"/>
          <w:sz w:val="44"/>
          <w:szCs w:val="44"/>
          <w:highlight w:val="none"/>
          <w14:textFill>
            <w14:solidFill>
              <w14:schemeClr w14:val="tx1"/>
            </w14:solidFill>
          </w14:textFill>
        </w:rPr>
        <w:t xml:space="preserve">第五章 合同主要条款</w:t>
      </w:r>
      <w:bookmarkEnd w:id="178"/>
      <w:r/>
      <w:bookmarkEnd w:id="179"/>
      <w:r/>
      <w:bookmarkEnd w:id="180"/>
      <w:r/>
      <w:bookmarkEnd w:id="181"/>
      <w:r/>
      <w:bookmarkEnd w:id="182"/>
      <w:r/>
      <w:bookmarkEnd w:id="183"/>
      <w:r/>
      <w:bookmarkEnd w:id="184"/>
      <w:r/>
      <w:bookmarkEnd w:id="185"/>
      <w:r/>
      <w:bookmarkEnd w:id="186"/>
      <w:r/>
      <w:bookmarkEnd w:id="187"/>
      <w:r/>
      <w:bookmarkEnd w:id="188"/>
      <w:r/>
      <w:r/>
    </w:p>
    <w:p>
      <w:pPr>
        <w:pStyle w:val="767"/>
        <w:spacing w:before="0" w:after="0" w:line="360" w:lineRule="auto"/>
        <w:rPr>
          <w:rFonts w:ascii="宋体" w:hAnsi="宋体" w:cs="宋体"/>
          <w:color w:val="000000" w:themeColor="text1"/>
          <w:highlight w:val="none"/>
          <w14:textFill>
            <w14:solidFill>
              <w14:schemeClr w14:val="tx1"/>
            </w14:solidFill>
          </w14:textFill>
        </w:rPr>
      </w:pPr>
      <w:r/>
      <w:bookmarkStart w:id="189" w:name="_Toc31592"/>
      <w:r/>
      <w:bookmarkStart w:id="190" w:name="_Toc32002"/>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盐城市大丰人民医院</w:t>
      </w:r>
      <w:r/>
    </w:p>
    <w:p>
      <w:pPr>
        <w:pStyle w:val="793"/>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根据本项目前期“三重一大”事项备案表、相关文件规定的要求进行招投标，依据《中华人民共和国民法典》等相关法律法规之规定，按照平等、自愿、公平和诚实信用的原则，甲乙双方就此次中标的</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 xml:space="preserve">项目事宜，依据招标文件及</w:t>
      </w:r>
      <w:r>
        <w:rPr>
          <w:rFonts w:hint="eastAsia" w:hAnsi="宋体" w:cs="宋体"/>
          <w:b/>
          <w:bCs/>
          <w:color w:val="000000" w:themeColor="text1"/>
          <w:sz w:val="24"/>
          <w:szCs w:val="24"/>
          <w:highlight w:val="none"/>
          <w:lang w:eastAsia="zh-CN"/>
          <w14:textFill>
            <w14:solidFill>
              <w14:schemeClr w14:val="tx1"/>
            </w14:solidFill>
          </w14:textFill>
        </w:rPr>
        <w:t xml:space="preserve">供应商</w:t>
      </w:r>
      <w:r>
        <w:rPr>
          <w:rFonts w:hint="eastAsia" w:hAnsi="宋体" w:cs="宋体"/>
          <w:b/>
          <w:bCs/>
          <w:color w:val="000000" w:themeColor="text1"/>
          <w:sz w:val="24"/>
          <w:szCs w:val="24"/>
          <w:highlight w:val="none"/>
          <w14:textFill>
            <w14:solidFill>
              <w14:schemeClr w14:val="tx1"/>
            </w14:solidFill>
          </w14:textFill>
        </w:rPr>
        <w:t xml:space="preserve">的投标文件和中标通知书，签订本合同书。</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一、货物内容</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2、技术参数：</w:t>
      </w:r>
      <w:r>
        <w:rPr>
          <w:rFonts w:hint="eastAsia" w:hAnsi="宋体" w:cs="宋体"/>
          <w:color w:val="000000" w:themeColor="text1"/>
          <w:sz w:val="24"/>
          <w:szCs w:val="24"/>
          <w:highlight w:val="none"/>
          <w:u w:val="single"/>
          <w14:textFill>
            <w14:solidFill>
              <w14:schemeClr w14:val="tx1"/>
            </w14:solidFill>
          </w14:textFill>
        </w:rPr>
        <w:t xml:space="preserve">按招标文件和投标文件中最优参数确定</w:t>
      </w:r>
      <w:r/>
    </w:p>
    <w:p>
      <w:pPr>
        <w:pStyle w:val="793"/>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4、采购数量：</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二、合同金额</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本合同含税价总额为：</w:t>
      </w:r>
      <w:r>
        <w:rPr>
          <w:rFonts w:hint="eastAsia" w:hAnsi="宋体" w:cs="宋体"/>
          <w:color w:val="000000" w:themeColor="text1"/>
          <w:sz w:val="24"/>
          <w:szCs w:val="24"/>
          <w:highlight w:val="none"/>
          <w:u w:val="single"/>
          <w14:textFill>
            <w14:solidFill>
              <w14:schemeClr w14:val="tx1"/>
            </w14:solidFill>
          </w14:textFill>
        </w:rPr>
        <w:t xml:space="preserve">（大写）             (小写：              元)</w:t>
      </w:r>
      <w:r>
        <w:rPr>
          <w:rFonts w:hint="eastAsia" w:hAnsi="宋体" w:cs="宋体"/>
          <w:color w:val="000000" w:themeColor="text1"/>
          <w:sz w:val="24"/>
          <w:szCs w:val="24"/>
          <w:highlight w:val="none"/>
          <w14:textFill>
            <w14:solidFill>
              <w14:schemeClr w14:val="tx1"/>
            </w14:solidFill>
          </w14:textFill>
        </w:rPr>
        <w:t xml:space="preserve">。</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合同总价为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93"/>
        <w:ind w:firstLine="482"/>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三、质量要求</w:t>
      </w:r>
      <w:r/>
    </w:p>
    <w:p>
      <w:pPr>
        <w:pStyle w:val="1065"/>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（1）国家相关法律法规、行业标准、技术规范。 </w:t>
      </w:r>
      <w:r/>
    </w:p>
    <w:p>
      <w:pPr>
        <w:pStyle w:val="1065"/>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（2）基于本项目采购需求编制的采购文件相关技术、服务要求、中标供应商投标文件相关响应内容。 </w:t>
      </w:r>
      <w:r/>
    </w:p>
    <w:p>
      <w:pPr>
        <w:pStyle w:val="1065"/>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（3）产品生产厂家出具的产品说明书、技术白皮书、医疗器械注册证或备案凭证等官方技术资料（如涉及）。</w:t>
      </w:r>
      <w:r/>
    </w:p>
    <w:p>
      <w:pPr>
        <w:pStyle w:val="1065"/>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ind w:firstLine="482"/>
        <w:spacing w:line="400" w:lineRule="exact"/>
        <w:rPr>
          <w:rFonts w:hint="eastAsia" w:hAnsi="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（5）按照《财政部关于进一步加强政府采购需求和履约验收管理的指导意见》（财库〔2016〕205号）的要求进行验收。</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四、合同文件构成：</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本协议书与下列文件一起构成合同文件：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（2）中标通知书；</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（3）投标文件； </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（4）技术标准和要求；</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（5）已标价报价明细表；</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五、技术资料</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应按招标文件规定的时间向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提供使用货物的有关技术资料。</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2、没有</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事先书面同意，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不得将由采购人提供的有关合同或任何合同条文、规格、样品或资料提供给与履行本合同无关的任何其他人。即使向履行本合同有关的人员提供，也应注意保密并限于履行合同的必需范围。</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六、知识产权</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应保证所提供的货物或其任何一部分均不会侵犯任何第三方的知识产权。</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若发生侵害第三方权利的情况，由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独立负责与第三方交涉并承担由此产生的全部法律和经济责任；如果</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因使用该货物而导致被第三方追诉，有权向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主张权利以及要求其承担由此造成的损失。</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七、产权担保</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保证所交付的货物的所有权完全属于供应商且无任何抵押、查封等产权瑕疵。</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八、履约保证金</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缴纳人民币</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元作为本合同的履约保证金。(备注:合同金额的10%，采购人应当对AA评级及以上政府采购供应商(需提供信用管理部门备案的第三方信用报告)免收履约保证金或降低履约保证金缴纳比例。（合同价款的5%）)</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8.2 缴纳方式:履约保证金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t>
      </w:r>
      <w:r>
        <w:rPr>
          <w:rFonts w:hint="eastAsia" w:hAnsi="宋体" w:cs="宋体"/>
          <w:color w:val="000000" w:themeColor="text1"/>
          <w:sz w:val="24"/>
          <w:szCs w:val="24"/>
          <w:highlight w:val="none"/>
          <w:lang w:val="en-US" w:eastAsia="zh-CN"/>
          <w14:textFill>
            <w14:solidFill>
              <w14:schemeClr w14:val="tx1"/>
            </w14:solidFill>
          </w14:textFill>
        </w:rPr>
        <w:t xml:space="preserve">www</w:t>
      </w:r>
      <w:r>
        <w:rPr>
          <w:rFonts w:hint="eastAsia" w:hAnsi="宋体" w:cs="宋体"/>
          <w:color w:val="000000" w:themeColor="text1"/>
          <w:sz w:val="24"/>
          <w:szCs w:val="24"/>
          <w:highlight w:val="none"/>
          <w14:textFill>
            <w14:solidFill>
              <w14:schemeClr w14:val="tx1"/>
            </w14:solidFill>
          </w14:textFill>
        </w:rPr>
        <w:t xml:space="preserve">.jsdzbh.com)在线申请履约保函(保险)。</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8.3履约保证金的退还：</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8.3.1方式：无息退还至</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缴纳履约保证金的账户。如为保函，在到期时自行失效。</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8.3.2时间：验收合格且</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收到发票后30日内。</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8.3.3条件：项目经</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验收合格。</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8.3.4不予退还情形：</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除不可抗力情况外，</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出现下列情形之一的，其履约保证金，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将视情节决定不予退还或部分不予退还。</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无正当理由拒绝签订合同的，或者在签订合同时向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提出附加条件或者更改合同实质性内容要求的；</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不履行与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订立的合同的；</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所供货物或服务不符合招标文件规定要求的；</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采取欺骗、弄虚作假方式投标的或与其它投标人串通投标的；</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将合同内容转包、违法分包的；</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故意捏造事实或伪造证明材料，进行虚假恶意投诉或反映的。</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九、转包或分包</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1、本合同范围的货物，应由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直接供应，不得转让他人供应；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2、除非得到</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的书面同意，</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不得将本合同范围的货物全部或部分分包给他人供应；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3、如有转让和未经</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同意的分包行为，</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有权单方解除合同，不返还履约保证金并追究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的违约责任。</w:t>
      </w:r>
      <w:r/>
    </w:p>
    <w:p>
      <w:pPr>
        <w:pStyle w:val="793"/>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十、合同履行期、交货方式及交货地点</w:t>
      </w:r>
      <w:r/>
    </w:p>
    <w:p>
      <w:pPr>
        <w:pStyle w:val="793"/>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合同履行期：</w:t>
      </w:r>
      <w:r/>
    </w:p>
    <w:p>
      <w:pPr>
        <w:pStyle w:val="793"/>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签订合同后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hAnsi="宋体" w:cs="宋体"/>
          <w:color w:val="000000" w:themeColor="text1"/>
          <w:sz w:val="24"/>
          <w:szCs w:val="24"/>
          <w:highlight w:val="none"/>
          <w:u w:val="single"/>
          <w14:textFill>
            <w14:solidFill>
              <w14:schemeClr w14:val="tx1"/>
            </w14:solidFill>
          </w14:textFill>
        </w:rPr>
        <w:t xml:space="preserve">0 </w:t>
      </w:r>
      <w:r>
        <w:rPr>
          <w:rFonts w:hint="eastAsia" w:hAnsi="宋体" w:cs="宋体"/>
          <w:color w:val="000000" w:themeColor="text1"/>
          <w:sz w:val="24"/>
          <w:szCs w:val="24"/>
          <w:highlight w:val="none"/>
          <w14:textFill>
            <w14:solidFill>
              <w14:schemeClr w14:val="tx1"/>
            </w14:solidFill>
          </w14:textFill>
        </w:rPr>
        <w:t xml:space="preserve">日历天内完成所需设备的采购、供应、运输、安装、调试等相关伴随服务，并通过采购人的验收</w:t>
      </w:r>
      <w:r/>
    </w:p>
    <w:p>
      <w:pPr>
        <w:pStyle w:val="793"/>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2、交货方式：全部货物到现场安装调试完毕交付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93"/>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3、交货地点：</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指定地点。</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4、保证货物使用及维修所需的全套技术资料和文件，至少应包括以下内容：货物清单；出厂合格证；操作的标识和中文标注；使用中文说明书；使用维修保养中文说明书。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5、其他必备材料和必备工具、货物等。</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十一、付款方式及结算方式：</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付款方式：本项目预付款为30%，货物安装调试完成并经</w:t>
      </w:r>
      <w:r>
        <w:rPr>
          <w:rFonts w:hint="eastAsia" w:ascii="宋体" w:hAnsi="宋体" w:cs="宋体"/>
          <w:b/>
          <w:bCs/>
          <w:color w:val="000000" w:themeColor="text1"/>
          <w:sz w:val="24"/>
          <w:highlight w:val="none"/>
          <w:lang w:eastAsia="zh-CN"/>
          <w14:textFill>
            <w14:solidFill>
              <w14:schemeClr w14:val="tx1"/>
            </w14:solidFill>
          </w14:textFill>
        </w:rPr>
        <w:t xml:space="preserve">采购人</w:t>
      </w:r>
      <w:r>
        <w:rPr>
          <w:rFonts w:hint="eastAsia" w:ascii="宋体" w:hAnsi="宋体" w:cs="宋体"/>
          <w:b/>
          <w:bCs/>
          <w:color w:val="000000" w:themeColor="text1"/>
          <w:sz w:val="24"/>
          <w:highlight w:val="none"/>
          <w14:textFill>
            <w14:solidFill>
              <w14:schemeClr w14:val="tx1"/>
            </w14:solidFill>
          </w14:textFill>
        </w:rPr>
        <w:t xml:space="preserve">验收合格付至合同价款的80%，验收合格满一年后付至合同价款的95%，余款在</w:t>
      </w:r>
      <w:r>
        <w:rPr>
          <w:rFonts w:hint="eastAsia" w:ascii="宋体" w:hAnsi="宋体" w:cs="宋体"/>
          <w:b/>
          <w:bCs/>
          <w:color w:val="000000" w:themeColor="text1"/>
          <w:sz w:val="24"/>
          <w:highlight w:val="none"/>
          <w:lang w:val="en-US" w:eastAsia="zh-CN"/>
          <w14:textFill>
            <w14:solidFill>
              <w14:schemeClr w14:val="tx1"/>
            </w14:solidFill>
          </w14:textFill>
        </w:rPr>
        <w:t xml:space="preserve">质保期满</w:t>
      </w:r>
      <w:r>
        <w:rPr>
          <w:rFonts w:hint="eastAsia" w:ascii="宋体" w:hAnsi="宋体" w:cs="宋体"/>
          <w:b/>
          <w:bCs/>
          <w:color w:val="000000" w:themeColor="text1"/>
          <w:sz w:val="24"/>
          <w:highlight w:val="none"/>
          <w14:textFill>
            <w14:solidFill>
              <w14:schemeClr w14:val="tx1"/>
            </w14:solidFill>
          </w14:textFill>
        </w:rPr>
        <w:t xml:space="preserve">后且使用无质量问题付清。</w:t>
      </w:r>
      <w:r/>
    </w:p>
    <w:p>
      <w:pPr>
        <w:ind w:firstLine="442"/>
        <w:spacing w:line="36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付款时</w:t>
      </w:r>
      <w:r>
        <w:rPr>
          <w:rFonts w:hint="eastAsia" w:ascii="宋体" w:hAnsi="宋体" w:cs="宋体"/>
          <w:b/>
          <w:color w:val="000000" w:themeColor="text1"/>
          <w:sz w:val="22"/>
          <w:szCs w:val="22"/>
          <w:highlight w:val="none"/>
          <w:lang w:eastAsia="zh-CN"/>
          <w14:textFill>
            <w14:solidFill>
              <w14:schemeClr w14:val="tx1"/>
            </w14:solidFill>
          </w14:textFill>
        </w:rPr>
        <w:t xml:space="preserve">供应商</w:t>
      </w:r>
      <w:r>
        <w:rPr>
          <w:rFonts w:hint="eastAsia" w:ascii="宋体" w:hAnsi="宋体" w:cs="宋体"/>
          <w:b/>
          <w:color w:val="000000" w:themeColor="text1"/>
          <w:sz w:val="22"/>
          <w:szCs w:val="22"/>
          <w:highlight w:val="none"/>
          <w14:textFill>
            <w14:solidFill>
              <w14:schemeClr w14:val="tx1"/>
            </w14:solidFill>
          </w14:textFill>
        </w:rPr>
        <w:t xml:space="preserve">须提供正规发票（采购人原则上自收到发票后30个工作日内将资金支付到合同约定的供应商账户）。合同款一律通过银行非现金结算，结算方式：转账。（按以上进度付款无任何利息补偿）</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十二、税费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本合同执行中相关的一切税费均由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负担。</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十三、质量保证及售后服务</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应按招标文件规定的货物性能、技术要求、质量标准（如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投标标准高于招标标准的按</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标准执行）向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提供未经使用的全新产品。</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提供的货物在质保期内因货物本身的质量问题发生故障，</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应负责免费更换。对达不到技术要求者，根据实际情况，经双方协商，可按以下办法处理：</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⑴更    换：由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承担所发生的全部费用。</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⑵贬值处理：由双方合议定价。</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⑶退货处理：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应退还采购人支付的合同款，同时应承担该货物的直接费用（运输、保险、检验、货款利息及银行手续费等）。</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3、如在使用过程中发生质量问题，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在接到</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通知后在</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小时内到达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指定现场进行处置。</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4、在质保期内，</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应对设备出现的质量及安全问题负责处理解决并承担一切费用。</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5、售后服务及要求：如在质保期内使用过程中发生质量问题，凡属一切自身质量缺陷所造成运行故障均免费维修或免费更换。</w:t>
      </w:r>
      <w:r/>
    </w:p>
    <w:p>
      <w:pPr>
        <w:pStyle w:val="793"/>
        <w:ind w:firstLine="480"/>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6、本项目质保期为不少于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年，质保期自项目验收合格之日起计算。</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十四、调试和验收</w:t>
      </w:r>
      <w:r/>
    </w:p>
    <w:p>
      <w:pPr>
        <w:pStyle w:val="793"/>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提交的货物依据招标文件上的技术规格要求和国家有关规定及技术要求有关质量标准进行现场初步验收，外观、说明书符合招标文件技术要求的，给予签收，初步验收不合格的不予签收。</w:t>
      </w:r>
      <w:r>
        <w:rPr>
          <w:rFonts w:hint="eastAsia" w:hAnsi="宋体" w:cs="宋体"/>
          <w:color w:val="000000" w:themeColor="text1"/>
          <w:sz w:val="24"/>
          <w:szCs w:val="24"/>
          <w:highlight w:val="none"/>
          <w:lang w:val="en-US" w:eastAsia="zh-CN"/>
          <w14:textFill>
            <w14:solidFill>
              <w14:schemeClr w14:val="tx1"/>
            </w14:solidFill>
          </w14:textFill>
        </w:rPr>
        <w:t xml:space="preserve">待供应商完成本项目涉及的所有设备的安装、调试并具备验收条件后，于5日内通知采购人验收，采购人接供应商通知后10日内组织验收</w:t>
      </w:r>
      <w:r>
        <w:rPr>
          <w:rFonts w:hint="eastAsia" w:hAnsi="宋体" w:cs="宋体"/>
          <w:color w:val="000000" w:themeColor="text1"/>
          <w:sz w:val="24"/>
          <w:szCs w:val="24"/>
          <w:highlight w:val="none"/>
          <w14:textFill>
            <w14:solidFill>
              <w14:schemeClr w14:val="tx1"/>
            </w14:solidFill>
          </w14:textFill>
        </w:rPr>
        <w:t xml:space="preserve">。</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交货前应对产品作出全面检查和对验收文件进行整理，并列出清单，作为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收货验收和使用的技术条件依据，检验的结果应随货物交付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93"/>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提供的货物在进行使用前调试时，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为采购人提供使用操作培训，保证受训人员能对设备进行熟练操作及日常维护；为采购人维修工程师提供技术培训，直至其具备保障设备正常运行和排除一般性故障的能力。</w:t>
      </w:r>
      <w:r>
        <w:rPr>
          <w:rFonts w:hint="eastAsia" w:hAnsi="宋体" w:cs="宋体"/>
          <w:color w:val="000000" w:themeColor="text1"/>
          <w:sz w:val="24"/>
          <w:szCs w:val="24"/>
          <w:highlight w:val="none"/>
          <w14:textFill>
            <w14:solidFill>
              <w14:schemeClr w14:val="tx1"/>
            </w14:solidFill>
          </w14:textFill>
        </w:rPr>
        <w:t xml:space="preserve">并协助</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调试，直到符合技术要求，</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才做最终验收。</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在设备安装调试过程中必须确保安全，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自行承担设备安装调试过程中的质量、任何状况下的安全责任，发生的一切问题和责任与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无关，相关一切费用均由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自理。若</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不能及时处理所发生的问题和责任，并且影响到项目总体进度时，</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有权处理相关事务，所发生的费用在支付合同款时作相应扣除。</w:t>
      </w:r>
      <w:r/>
    </w:p>
    <w:p>
      <w:pPr>
        <w:pStyle w:val="793"/>
        <w:ind w:firstLine="480"/>
        <w:spacing w:line="400" w:lineRule="exact"/>
        <w:rPr>
          <w:rFonts w:hint="eastAsia" w:hAnsi="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5、验收时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必须在现场，验收完毕后作出验收结果报告，验收费用由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93"/>
        <w:ind w:firstLine="480"/>
        <w:spacing w:line="400" w:lineRule="exact"/>
        <w:rPr>
          <w:rFonts w:hint="eastAsia"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验收组织方式：自行验收，可邀请本项目的其他供应商参加。</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十五、货物包装、发运及运输</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应在货物发运前对其进行满足运输距离、防潮、防震、防锈和防破损装卸等要求包装，以保证货物安全运达采购人指定地点。</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2、使用说明书、质量检验证明书、随配附件和工具以及清单一并附于货物内，安装调试完毕后按设备清单逐一按序交付给</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在货物发运手续办理完毕后24小时内或货到48小时前通知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，以准备核验货物。</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4、货物在交付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前发生的风险均由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5、货物在规定的交付期限内由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送达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指定的地点并安装调试完毕并经验收合格后视为交付，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同时须通知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货物已送达。</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十六、违约责任</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1、按该项目供货期要求,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每逾期1天交付，应向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支付该项目合同总价的0.1％作为违约金，由</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从待付合同款中进行相应扣除；逾期超过约定供货期10个工作日不能交货的，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有权单方解除合同且无须向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承担任何责任。</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因逾期交货或因其他违约行为导致</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解除合同的，</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支付该合同总值5%的违约金，如造成</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损失超过违约金的，超出部分由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继续赔偿。</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所交付的货物品种、型号、规格、技术参数、质量不符合合同规定及招标文件规定标准的，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有权拒收该批货物并可单方面解除合同，同时扣除履约保证金。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如有虚假响应、以次充好等行为，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有权将该单位移送相关主管部门处理，同时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支付不少于合同总价30%的赔偿金。</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每延期1天支付合同价款，应向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支付该项目合同总价的万分之四作为违约金。</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在供货期间如发生安全事故，一切经济责任和法律责任皆由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w:t>
      </w:r>
      <w:r/>
    </w:p>
    <w:p>
      <w:pPr>
        <w:pStyle w:val="793"/>
        <w:ind w:firstLine="480"/>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5、在合同履行过程中若有一方违反本合同约定，违约方除承担违约责任赔偿外，还需承担守约方维权产生的费用包括但不限于诉讼费、保全费、保全保险费、律师费等一切费用。</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十七、不可抗力事件处理</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十八、争议解决</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双方在执行合同中所发生的一切争议，应通过协商解决。如协商不成，甲乙双方均有权向合同签订地盐城市大丰区人民法院提起诉讼。合同签订地：盐城市大丰区。</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十九、合同生效及其他</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1、合同经双方法定代表人或授权代表签字并加盖单位公章后生效。</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保留适度调整采购需求的权利，本项目最终按实际到场货物数量、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的投标单价结算。</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3、本合同未尽事宜，遵照《中华人民共和国民法典》有关条文执行。</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4、本合同正本一式陆份，具有同等法律效力，甲乙双方各执叁份。</w:t>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93"/>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 </w:t>
      </w:r>
      <w:r/>
    </w:p>
    <w:p>
      <w:pPr>
        <w:pStyle w:val="793"/>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法定（授权）代表人：                     法定（授权）代表人：</w:t>
      </w:r>
      <w:r/>
    </w:p>
    <w:p>
      <w:pPr>
        <w:pStyle w:val="793"/>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签字日期：      年  月  日               签字日期：      年  月  日</w:t>
      </w:r>
      <w:r/>
    </w:p>
    <w:p>
      <w:pPr>
        <w:pStyle w:val="793"/>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93"/>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93"/>
        <w:jc w:val="center"/>
        <w:spacing w:after="120"/>
        <w:rPr>
          <w:rFonts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廉 政 合 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：盐城市大丰人民医院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为强化抓源治本工作力度，从制度机制上进一步规范</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采购行为，杜绝不廉洁行为，特订立本合同，双方遵照执行。</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双方必须严格遵守国家法律、法规、政策及各项廉政规定，恪守职业道德规范。</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双方在具体项目采购行为中，必须严格遵守招投标法规定的原则、方式、程序，保证公平、公正、公开。</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双方不得相互串通，损害国家利益、社会公共利益及其他当事人的合法权益。</w:t>
      </w:r>
      <w:r/>
    </w:p>
    <w:p>
      <w:pPr>
        <w:pStyle w:val="793"/>
        <w:ind w:firstLine="240"/>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4、</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工作人员及其配偶、子女不得以任何形式或名义索要、接受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的现金、有价证券、支付凭证和其他馈赠礼品；</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工作人员及其配偶、子女、评标人员赠送现金、有价证券、支付凭证和礼品或采取其他不正当手段谋取利益。</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工作人员及其配偶、子女不得以任何形式或者名义接受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的宴请、请钓、旅游、健身和其他娱乐活动；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不得以任何形式或名义邀请</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工作人员及其配偶、子女请吃、请钓、旅游、健身和其他娱乐活动。</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工作人员及其配偶、子女不得以打“业务牌”等形式变相接受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的钱物；</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不得以打“业务牌”的形式向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工作人员及其配偶、子女变相送钱物。</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7、</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报销应由个人支付的费用或领取报酬；</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工作人员及其配偶、子女报销应由个人支付的费用或发放报酬。</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违约责任：</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发生违约行为，一经查实将视情节轻重对直接责任人进行严肃处理并追究主管人员的责任。</w:t>
      </w:r>
      <w:r/>
    </w:p>
    <w:p>
      <w:pPr>
        <w:pStyle w:val="793"/>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发生违约行为，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有权解除合同，并将其列入“黑名单”在一定范围内公布，三年内不得参加辖区内的项目采购。　</w:t>
      </w:r>
      <w:r/>
    </w:p>
    <w:p>
      <w:pPr>
        <w:pStyle w:val="793"/>
        <w:jc w:val="left"/>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tabs>
          <w:tab w:val="left" w:pos="4962"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法定（授权）代表人：                     法定（授权）代表人：</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      年  月  日               签字日期：      年  月  日</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附件：</w:t>
      </w:r>
      <w:r/>
    </w:p>
    <w:p>
      <w:pPr>
        <w:ind w:firstLine="42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sz w:val="36"/>
          <w:highlight w:val="none"/>
          <w14:textFill>
            <w14:solidFill>
              <w14:schemeClr w14:val="tx1"/>
            </w14:solidFill>
          </w14:textFill>
        </w:rPr>
        <w:t xml:space="preserve">政府采购合同履约验收书（参考格式）</w:t>
      </w:r>
      <w:r/>
    </w:p>
    <w:p>
      <w:pPr>
        <w:ind w:firstLine="42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根据政府采购合同（编号：</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）的约定，我单位组织对</w:t>
      </w:r>
      <w:r>
        <w:rPr>
          <w:rFonts w:ascii="宋体" w:hAnsi="宋体" w:cs="宋体"/>
          <w:color w:val="000000" w:themeColor="text1"/>
          <w:highlight w:val="none"/>
          <w:u w:val="single"/>
          <w14:textFill>
            <w14:solidFill>
              <w14:schemeClr w14:val="tx1"/>
            </w14:solidFill>
          </w14:textFill>
        </w:rPr>
        <w:t xml:space="preserve">（项目名称）</w:t>
      </w:r>
      <w:r>
        <w:rPr>
          <w:rFonts w:ascii="宋体" w:hAnsi="宋体" w:cs="宋体"/>
          <w:color w:val="000000" w:themeColor="text1"/>
          <w:highlight w:val="none"/>
          <w14:textFill>
            <w14:solidFill>
              <w14:schemeClr w14:val="tx1"/>
            </w14:solidFill>
          </w14:textFill>
        </w:rPr>
        <w:t xml:space="preserve">项目中标（成交）供应商</w:t>
      </w:r>
      <w:r>
        <w:rPr>
          <w:rFonts w:ascii="宋体" w:hAnsi="宋体" w:cs="宋体"/>
          <w:color w:val="000000" w:themeColor="text1"/>
          <w:highlight w:val="none"/>
          <w:u w:val="single"/>
          <w14:textFill>
            <w14:solidFill>
              <w14:schemeClr w14:val="tx1"/>
            </w14:solidFill>
          </w14:textFill>
        </w:rPr>
        <w:t xml:space="preserve">（公司名称）</w:t>
      </w:r>
      <w:r>
        <w:rPr>
          <w:rFonts w:ascii="宋体" w:hAnsi="宋体" w:cs="宋体"/>
          <w:color w:val="000000" w:themeColor="text1"/>
          <w:highlight w:val="none"/>
          <w14:textFill>
            <w14:solidFill>
              <w14:schemeClr w14:val="tx1"/>
            </w14:solidFill>
          </w14:textFill>
        </w:rPr>
        <w:t xml:space="preserve">提供的货物（工程、服务）进行了履约验收，验收情况如下：</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验收情况和验收意见</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（可另附）</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验收小组（签字）：</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采购人确认意见（签章）：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年    月    日</w:t>
            </w:r>
            <w:r/>
          </w:p>
        </w:tc>
      </w:tr>
    </w:tbl>
    <w:p>
      <w:pPr>
        <w:jc w:val="center"/>
        <w:spacing w:line="520" w:lineRule="exact"/>
        <w:rPr>
          <w:b/>
          <w:color w:val="000000" w:themeColor="text1"/>
          <w:sz w:val="44"/>
          <w:szCs w:val="4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outlineLvl w:val="0"/>
      </w:pPr>
      <w:r>
        <w:rPr>
          <w:b/>
          <w:color w:val="000000" w:themeColor="text1"/>
          <w:sz w:val="44"/>
          <w:szCs w:val="44"/>
          <w:highlight w:val="none"/>
          <w14:textFill>
            <w14:solidFill>
              <w14:schemeClr w14:val="tx1"/>
            </w14:solidFill>
          </w14:textFill>
        </w:rPr>
      </w:r>
      <w:r/>
    </w:p>
    <w:p>
      <w:pPr>
        <w:jc w:val="center"/>
        <w:spacing w:line="520" w:lineRule="exact"/>
        <w:rPr>
          <w:rFonts w:ascii="宋体" w:hAnsi="宋体" w:cs="宋体"/>
          <w:b/>
          <w:color w:val="000000" w:themeColor="text1"/>
          <w:sz w:val="72"/>
          <w:szCs w:val="72"/>
          <w:highlight w:val="none"/>
          <w14:textFill>
            <w14:solidFill>
              <w14:schemeClr w14:val="tx1"/>
            </w14:solidFill>
          </w14:textFill>
        </w:rPr>
        <w:outlineLvl w:val="0"/>
      </w:pPr>
      <w:r/>
      <w:bookmarkStart w:id="191" w:name="_Toc7692"/>
      <w:r>
        <w:rPr>
          <w:rFonts w:hint="eastAsia"/>
          <w:b/>
          <w:color w:val="000000" w:themeColor="text1"/>
          <w:sz w:val="44"/>
          <w:szCs w:val="44"/>
          <w:highlight w:val="none"/>
          <w14:textFill>
            <w14:solidFill>
              <w14:schemeClr w14:val="tx1"/>
            </w14:solidFill>
          </w14:textFill>
        </w:rPr>
        <w:t xml:space="preserve">第六章 投标文件及格式</w:t>
      </w:r>
      <w:bookmarkEnd w:id="189"/>
      <w:r/>
      <w:bookmarkEnd w:id="190"/>
      <w:r/>
      <w:bookmarkEnd w:id="191"/>
      <w:r/>
      <w:r/>
    </w:p>
    <w:p>
      <w:pPr>
        <w:pStyle w:val="813"/>
        <w:jc w:val="center"/>
        <w:spacing w:beforeAutospacing="0" w:afterAutospacing="0"/>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pStyle w:val="813"/>
        <w:jc w:val="center"/>
        <w:spacing w:beforeAutospacing="0" w:afterAutospacing="0"/>
        <w:rPr>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投  标  文  件</w:t>
      </w:r>
      <w:r/>
    </w:p>
    <w:p>
      <w:pPr>
        <w:pStyle w:val="81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3"/>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3"/>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名 称：</w:t>
      </w:r>
      <w:r>
        <w:rPr>
          <w:rFonts w:hint="eastAsia"/>
          <w:b/>
          <w:color w:val="000000" w:themeColor="text1"/>
          <w:sz w:val="36"/>
          <w:szCs w:val="36"/>
          <w:highlight w:val="none"/>
          <w:u w:val="single"/>
          <w14:textFill>
            <w14:solidFill>
              <w14:schemeClr w14:val="tx1"/>
            </w14:solidFill>
          </w14:textFill>
        </w:rPr>
        <w:t xml:space="preserve">               </w:t>
      </w:r>
      <w:r/>
    </w:p>
    <w:p>
      <w:pPr>
        <w:pStyle w:val="813"/>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编 号：</w:t>
      </w:r>
      <w:r>
        <w:rPr>
          <w:rFonts w:hint="eastAsia"/>
          <w:b/>
          <w:color w:val="000000" w:themeColor="text1"/>
          <w:sz w:val="36"/>
          <w:szCs w:val="36"/>
          <w:highlight w:val="none"/>
          <w:u w:val="single"/>
          <w14:textFill>
            <w14:solidFill>
              <w14:schemeClr w14:val="tx1"/>
            </w14:solidFill>
          </w14:textFill>
        </w:rPr>
        <w:t xml:space="preserve">               </w:t>
      </w:r>
      <w:r/>
    </w:p>
    <w:p>
      <w:pPr>
        <w:pStyle w:val="813"/>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投标人名称 ：</w:t>
      </w:r>
      <w:r>
        <w:rPr>
          <w:rFonts w:hint="eastAsia"/>
          <w:b/>
          <w:color w:val="000000" w:themeColor="text1"/>
          <w:sz w:val="36"/>
          <w:szCs w:val="36"/>
          <w:highlight w:val="none"/>
          <w:u w:val="single"/>
          <w14:textFill>
            <w14:solidFill>
              <w14:schemeClr w14:val="tx1"/>
            </w14:solidFill>
          </w14:textFill>
        </w:rPr>
        <w:t xml:space="preserve">（加盖CA电子公章）        </w:t>
      </w:r>
      <w:r/>
    </w:p>
    <w:p>
      <w:pPr>
        <w:pStyle w:val="813"/>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color w:val="000000" w:themeColor="text1"/>
          <w:sz w:val="32"/>
          <w:szCs w:val="32"/>
          <w:highlight w:val="none"/>
          <w14:textFill>
            <w14:solidFill>
              <w14:schemeClr w14:val="tx1"/>
            </w14:solidFill>
          </w14:textFill>
        </w:rPr>
      </w:r>
      <w:r/>
    </w:p>
    <w:p>
      <w:pPr>
        <w:pStyle w:val="813"/>
        <w:jc w:val="center"/>
        <w:spacing w:beforeAutospacing="0" w:afterAutospacing="0" w:line="0" w:lineRule="atLeast"/>
        <w:rPr>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投标文件目录</w:t>
      </w:r>
      <w:r/>
    </w:p>
    <w:p>
      <w:pPr>
        <w:pStyle w:val="813"/>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一、法人或者其他组织的营业执照等证明文件，自然人的身份证明</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二、上一年度的财务状况报告（至少提供资产负债表、利润表、现金流量表，投标人成立不满一年无需提供）</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四、具备履行合同所必需的设备和专业技术能力的书面声明</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五、参加政府采购活动前 3 年内在经营活动中没有重大违法记录的书面声明</w:t>
      </w:r>
      <w:r/>
    </w:p>
    <w:p>
      <w:pPr>
        <w:pStyle w:val="813"/>
        <w:ind w:left="480"/>
        <w:jc w:val="both"/>
        <w:spacing w:beforeAutospacing="0" w:afterAutospacing="0" w:line="400" w:lineRule="exact"/>
        <w:rPr>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六、特定资格要求的证明文件（如果本项目设置特定资格要求，则需要提供）</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七、法人授权书</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八、投标函</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九、小微企业声明函</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十、残疾人福利性单位声明函（如有）</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十一、投标清单报价表</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十二、商务要求响应及偏离表</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十三、开标一览表</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十四、技术方案、服务承诺、培训承诺等</w:t>
      </w:r>
      <w:r/>
    </w:p>
    <w:p>
      <w:pPr>
        <w:pStyle w:val="813"/>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十五、盐城市政府采购事前信用承诺书</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52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813"/>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813"/>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813"/>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813"/>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（一）法人或者其他组织的营业执照等证明文件，自然人的身份证明</w:t>
      </w:r>
      <w:r/>
    </w:p>
    <w:p>
      <w:pPr>
        <w:pStyle w:val="813"/>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813"/>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t xml:space="preserve">（二）上一年度的财务状况报表（成立不满一年无需提供）</w:t>
      </w:r>
      <w:r/>
    </w:p>
    <w:p>
      <w:pPr>
        <w:pStyle w:val="813"/>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（三）依法缴纳税收和社会保障资金的相关材料</w:t>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813"/>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（四）具备履行合同所必需的设备和专业技术能力的书面声明</w:t>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813"/>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13"/>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pStyle w:val="813"/>
        <w:ind w:firstLine="480"/>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投标人名称（公章）：</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（五）参加政府采购活动前 3 年内在经营活动中没有重大违法记录的书面声明</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ind w:firstLine="42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投标人名称（公章）：</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817"/>
        <w:ind w:firstLine="361"/>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3"/>
        <w:spacing w:before="120" w:after="120" w:line="440" w:lineRule="exact"/>
        <w:rPr>
          <w:rFonts w:hAnsi="宋体" w:cs="宋体"/>
          <w:b/>
          <w:color w:val="000000" w:themeColor="text1"/>
          <w:sz w:val="36"/>
          <w:szCs w:val="36"/>
          <w:highlight w:val="none"/>
          <w14:textFill>
            <w14:solidFill>
              <w14:schemeClr w14:val="tx1"/>
            </w14:solidFill>
          </w14:textFill>
        </w:rPr>
      </w:pPr>
      <w:r>
        <w:rPr>
          <w:rFonts w:hAnsi="宋体" w:cs="宋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813"/>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（六）符合公告的相关证明材料</w:t>
      </w:r>
      <w:r/>
    </w:p>
    <w:p>
      <w:pPr>
        <w:pStyle w:val="793"/>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（七）法定代表人身份证明书</w:t>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经营期限：</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left="3598" w:hanging="27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身份证号：</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（投标单位名称)</w:t>
      </w:r>
      <w:r>
        <w:rPr>
          <w:rFonts w:hint="eastAsia" w:ascii="宋体" w:hAnsi="宋体"/>
          <w:color w:val="000000" w:themeColor="text1"/>
          <w:sz w:val="24"/>
          <w:highlight w:val="none"/>
          <w14:textFill>
            <w14:solidFill>
              <w14:schemeClr w14:val="tx1"/>
            </w14:solidFill>
          </w14:textFill>
        </w:rPr>
        <w:t xml:space="preserve">的法定代表人或单位负责人。</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tbl>
      <w:tblPr>
        <w:tblStyle w:val="77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（法定代表人身份证扫描件粘贴处）</w:t>
            </w:r>
            <w:r/>
          </w:p>
        </w:tc>
      </w:tr>
    </w:tbl>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44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 ：</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44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pStyle w:val="793"/>
        <w:ind w:firstLine="2530"/>
        <w:spacing w:before="120" w:after="120" w:line="440" w:lineRule="exact"/>
        <w:rPr>
          <w:rFonts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br w:type="page" w:clear="all"/>
      </w:r>
      <w:r>
        <w:rPr>
          <w:rFonts w:hint="eastAsia" w:hAnsi="宋体" w:cs="宋体"/>
          <w:b/>
          <w:color w:val="000000" w:themeColor="text1"/>
          <w:sz w:val="36"/>
          <w:szCs w:val="36"/>
          <w:highlight w:val="none"/>
          <w14:textFill>
            <w14:solidFill>
              <w14:schemeClr w14:val="tx1"/>
            </w14:solidFill>
          </w14:textFill>
        </w:rPr>
        <w:t xml:space="preserve">法定代表人授权委托书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本授权委托书声明：我</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（姓名）系</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（投标人名称）的法定代表人或单位负责人，现授权委托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（姓名）为我的代理人，以本公司的名义参加</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代理人无转委权，特此委托。</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　　　　      代理人联系电话（手机号）：　　     　　</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投标人(法人印章)：</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法定代表人(印章或签字)：</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after="161"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w:t>
      </w:r>
      <w:r/>
    </w:p>
    <w:tbl>
      <w:tblPr>
        <w:tblStyle w:val="77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（代理人身份证扫描件粘贴处）</w:t>
            </w:r>
            <w:r/>
          </w:p>
        </w:tc>
      </w:tr>
    </w:tbl>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br w:type="page" w:clear="all"/>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（八）投标函</w:t>
      </w:r>
      <w:r/>
    </w:p>
    <w:p>
      <w:pPr>
        <w:pStyle w:val="793"/>
        <w:spacing w:before="120" w:after="120" w:line="440" w:lineRule="exact"/>
        <w:rPr>
          <w:rFonts w:hAnsi="宋体"/>
          <w:color w:val="000000" w:themeColor="text1"/>
          <w:sz w:val="24"/>
          <w:highlight w:val="none"/>
          <w:u w:val="singl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采购人：</w:t>
      </w:r>
      <w:r>
        <w:rPr>
          <w:rFonts w:hint="eastAsia" w:hAnsi="宋体"/>
          <w:b/>
          <w:bCs/>
          <w:color w:val="000000" w:themeColor="text1"/>
          <w:sz w:val="24"/>
          <w:highlight w:val="none"/>
          <w:u w:val="single"/>
          <w14:textFill>
            <w14:solidFill>
              <w14:schemeClr w14:val="tx1"/>
            </w14:solidFill>
          </w14:textFill>
        </w:rPr>
        <w:t xml:space="preserve"> </w:t>
      </w:r>
      <w:r>
        <w:rPr>
          <w:rFonts w:hAnsi="宋体"/>
          <w:b/>
          <w:bCs/>
          <w:color w:val="000000" w:themeColor="text1"/>
          <w:sz w:val="24"/>
          <w:highlight w:val="none"/>
          <w:u w:val="single"/>
          <w14:textFill>
            <w14:solidFill>
              <w14:schemeClr w14:val="tx1"/>
            </w14:solidFill>
          </w14:textFill>
        </w:rPr>
        <w:t xml:space="preserve">                      </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号招标文件，正式授权下述签字人____________(姓名)代表我方______________（投标人的名称），全权处理本次项目投标的有关事宜。</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1.按招标文件规定的各项要求，向买方提供所需货物与服务。</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5.如果在开标后规定的投标有效期内撤回投标或中标后拒绝签订合同，则按照国家相关法律法规受到相应处罚。</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6.同意向贵方提供贵方可能另外要求的与投标有关的任何证据或资料，并保证我方已提供和将要提供的文件是真实的、准确的。</w:t>
      </w:r>
      <w:r/>
    </w:p>
    <w:p>
      <w:pPr>
        <w:pStyle w:val="1021"/>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7.一旦我方中标,我方将根据招标文件的规定，严格履行合同的责任和义务,并保证在招标文件规定的时间完成项目，交付买方验收、使用。</w:t>
      </w:r>
      <w:r/>
    </w:p>
    <w:p>
      <w:pPr>
        <w:pStyle w:val="1021"/>
        <w:ind w:left="425"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8.与本投标有关的正式通讯地址为：</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投标人授权代表姓名（签字）： </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投标人名称（公章）： </w:t>
      </w:r>
      <w:r/>
    </w:p>
    <w:p>
      <w:pPr>
        <w:pStyle w:val="1021"/>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（九）中小企业声明函（货物）</w:t>
      </w:r>
      <w:r/>
    </w:p>
    <w:p>
      <w:pPr>
        <w:spacing w:line="560" w:lineRule="exac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192" w:name="_Toc11581"/>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cs="宋体"/>
          <w:color w:val="000000" w:themeColor="text1"/>
          <w:sz w:val="24"/>
          <w:szCs w:val="24"/>
          <w:highlight w:val="none"/>
          <w14:textFill>
            <w14:solidFill>
              <w14:schemeClr w14:val="tx1"/>
            </w14:solidFill>
          </w14:textFill>
        </w:rPr>
        <w:t xml:space="preserve">采购活动，</w:t>
      </w:r>
      <w:r>
        <w:rPr>
          <w:rFonts w:hint="eastAsia" w:ascii="宋体" w:hAnsi="宋体" w:cs="宋体"/>
          <w:b/>
          <w:bCs/>
          <w:color w:val="000000" w:themeColor="text1"/>
          <w:sz w:val="24"/>
          <w:szCs w:val="24"/>
          <w:highlight w:val="none"/>
          <w14:textFill>
            <w14:solidFill>
              <w14:schemeClr w14:val="tx1"/>
            </w14:solidFill>
          </w14:textFill>
        </w:rPr>
        <w:t xml:space="preserve">提供的货物全部由符合政策要求的中小企业制造</w:t>
      </w:r>
      <w:r>
        <w:rPr>
          <w:rFonts w:hint="eastAsia" w:ascii="宋体" w:hAnsi="宋体" w:cs="宋体"/>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企业名称（盖章）：</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spacing w:line="360" w:lineRule="auto"/>
        <w:rPr>
          <w:rFonts w:ascii="宋体" w:hAnsi="宋体" w:cs="宋体"/>
          <w:b/>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 xml:space="preserve">1 、从业人员、营业收入、资产总额填报上一年度数据，无上一年度数据的新成立企业可不填报</w:t>
      </w:r>
      <w:bookmarkEnd w:id="192"/>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pageBreakBefore/>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（十）残疾人福利性单位声明函（如有）</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hAnsi="宋体" w:cs="宋体"/>
          <w:b/>
          <w:bCs/>
          <w:color w:val="000000" w:themeColor="text1"/>
          <w:sz w:val="24"/>
          <w:highlight w:val="none"/>
          <w:u w:val="single"/>
          <w:lang w:eastAsia="zh-CN"/>
          <w14:textFill>
            <w14:solidFill>
              <w14:schemeClr w14:val="tx1"/>
            </w14:solidFill>
          </w14:textFill>
        </w:rPr>
        <w:t xml:space="preserve">盐城市大丰人民医院血液科层流病房改造及设备采购项目</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的</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eastAsia="zh-CN"/>
          <w14:textFill>
            <w14:solidFill>
              <w14:schemeClr w14:val="tx1"/>
            </w14:solidFill>
          </w14:textFill>
        </w:rPr>
        <w:t xml:space="preserve">盐城市大丰人民医院血液科层流病房改造及设备采购项目</w:t>
      </w:r>
      <w:r>
        <w:rPr>
          <w:rFonts w:hint="eastAsia" w:ascii="宋体" w:hAnsi="宋体" w:cs="宋体"/>
          <w:color w:val="000000" w:themeColor="text1"/>
          <w:spacing w:val="6"/>
          <w:sz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pacing w:val="6"/>
          <w:sz w:val="24"/>
          <w:highlight w:val="none"/>
          <w:u w:val="single"/>
          <w14:textFill>
            <w14:solidFill>
              <w14:schemeClr w14:val="tx1"/>
            </w14:solidFill>
          </w14:textFill>
        </w:rPr>
        <w:t xml:space="preserve">      元整</w:t>
      </w:r>
      <w:r>
        <w:rPr>
          <w:rFonts w:hint="eastAsia" w:ascii="宋体" w:hAnsi="宋体" w:cs="宋体"/>
          <w:color w:val="000000" w:themeColor="text1"/>
          <w:spacing w:val="6"/>
          <w:sz w:val="24"/>
          <w:highlight w:val="none"/>
          <w14:textFill>
            <w14:solidFill>
              <w14:schemeClr w14:val="tx1"/>
            </w14:solidFill>
          </w14:textFill>
        </w:rPr>
        <w:t xml:space="preserve">（￥</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right="1560" w:firstLine="504"/>
        <w:jc w:val="right"/>
        <w:spacing w:line="588" w:lineRule="exact"/>
        <w:tabs>
          <w:tab w:val="left" w:pos="4860" w:leader="none"/>
        </w:tabs>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授权代表亲笔签名：</w:t>
      </w:r>
      <w:r/>
    </w:p>
    <w:p>
      <w:pPr>
        <w:ind w:right="286" w:firstLine="504"/>
        <w:jc w:val="right"/>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日期：________年____月____日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spacing w:line="480" w:lineRule="exac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b/>
          <w:color w:val="000000" w:themeColor="text1"/>
          <w:sz w:val="36"/>
          <w:szCs w:val="36"/>
          <w:highlight w:val="none"/>
          <w14:textFill>
            <w14:solidFill>
              <w14:schemeClr w14:val="tx1"/>
            </w14:solidFill>
          </w14:textFill>
        </w:rPr>
        <w:t xml:space="preserve">（十一）投标清单报价表</w:t>
      </w:r>
      <w:r/>
    </w:p>
    <w:p>
      <w:pPr>
        <w:spacing w:line="400" w:lineRule="exact"/>
        <w:rPr>
          <w:rFonts w:ascii="宋体" w:hAnsi="宋体" w:cs="Angsana New"/>
          <w:color w:val="000000" w:themeColor="text1"/>
          <w:sz w:val="24"/>
          <w:highlight w:val="none"/>
          <w:lang w:bidi="th-TH"/>
          <w14:textFill>
            <w14:solidFill>
              <w14:schemeClr w14:val="tx1"/>
            </w14:solidFill>
          </w14:textFill>
        </w:rPr>
      </w:pPr>
      <w:r>
        <w:rPr>
          <w:rFonts w:hint="eastAsia" w:ascii="宋体" w:hAnsi="宋体" w:cs="Angsana New"/>
          <w:color w:val="000000" w:themeColor="text1"/>
          <w:sz w:val="24"/>
          <w:highlight w:val="none"/>
          <w:lang w:bidi="th-TH"/>
          <w14:textFill>
            <w14:solidFill>
              <w14:schemeClr w14:val="tx1"/>
            </w14:solidFill>
          </w14:textFill>
        </w:rPr>
        <w:t xml:space="preserve">                                               </w:t>
      </w:r>
      <w:r/>
    </w:p>
    <w:tbl>
      <w:tblPr>
        <w:tblStyle w:val="777"/>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pStyle w:val="793"/>
        <w:jc w:val="left"/>
        <w:spacing w:before="120" w:after="120" w:line="280" w:lineRule="exact"/>
        <w:rPr>
          <w:rFonts w:hAnsi="宋体" w:cs="Angsana New"/>
          <w:color w:val="000000" w:themeColor="text1"/>
          <w:highlight w:val="none"/>
          <w:lang w:bidi="th-TH"/>
          <w14:textFill>
            <w14:solidFill>
              <w14:schemeClr w14:val="tx1"/>
            </w14:solidFill>
          </w14:textFill>
        </w:rPr>
      </w:pPr>
      <w:r>
        <w:rPr>
          <w:rFonts w:hint="eastAsia" w:hAnsi="宋体" w:cs="Angsana New"/>
          <w:color w:val="000000" w:themeColor="text1"/>
          <w:highlight w:val="none"/>
          <w:lang w:bidi="th-TH"/>
          <w14:textFill>
            <w14:solidFill>
              <w14:schemeClr w14:val="tx1"/>
            </w14:solidFill>
          </w14:textFill>
        </w:rPr>
        <w:t xml:space="preserve">（格式可自拟）</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投标人</w:t>
      </w:r>
      <w:r>
        <w:rPr>
          <w:rFonts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14:textFill>
            <w14:solidFill>
              <w14:schemeClr w14:val="tx1"/>
            </w14:solidFill>
          </w14:textFill>
        </w:rPr>
        <w:t xml:space="preserve">公章</w:t>
      </w:r>
      <w:r>
        <w:rPr>
          <w:rFonts w:ascii="宋体" w:hAnsi="宋体" w:cs="FangSong_GB2312-Identity-H"/>
          <w:color w:val="000000" w:themeColor="text1"/>
          <w:sz w:val="24"/>
          <w:highlight w:val="none"/>
          <w14:textFill>
            <w14:solidFill>
              <w14:schemeClr w14:val="tx1"/>
            </w14:solidFill>
          </w14:textFill>
        </w:rPr>
        <w:t xml:space="preserve">) </w:t>
      </w:r>
      <w:r>
        <w:rPr>
          <w:rFonts w:hint="eastAsia"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ind w:firstLine="3780"/>
        <w:jc w:val="left"/>
        <w:spacing w:line="500" w:lineRule="exact"/>
        <w:rPr>
          <w:rFonts w:ascii="宋体" w:hAnsi="宋体" w:cs="FangSong_GB2312-Identity-H"/>
          <w:color w:val="000000" w:themeColor="text1"/>
          <w:sz w:val="24"/>
          <w:highlight w:val="non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法定代表人（或者负责人）</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或授权委托人（签字或盖章）：</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pStyle w:val="793"/>
        <w:ind w:firstLine="3780"/>
        <w:jc w:val="left"/>
        <w:spacing w:before="120" w:after="120" w:line="280" w:lineRule="exact"/>
        <w:rPr>
          <w:rFonts w:hAnsi="宋体" w:cs="Angsana New"/>
          <w:color w:val="000000" w:themeColor="text1"/>
          <w:highlight w:val="none"/>
          <w:u w:val="single"/>
          <w:lang w:bidi="th-TH"/>
          <w14:textFill>
            <w14:solidFill>
              <w14:schemeClr w14:val="tx1"/>
            </w14:solidFill>
          </w14:textFill>
        </w:rPr>
      </w:pPr>
      <w:r>
        <w:rPr>
          <w:rFonts w:hint="eastAsia" w:hAnsi="宋体" w:cs="FangSong_GB2312-Identity-H"/>
          <w:color w:val="000000" w:themeColor="text1"/>
          <w:sz w:val="24"/>
          <w:highlight w:val="none"/>
          <w14:textFill>
            <w14:solidFill>
              <w14:schemeClr w14:val="tx1"/>
            </w14:solidFill>
          </w14:textFill>
        </w:rPr>
        <w:t xml:space="preserve">日      期：</w:t>
      </w:r>
      <w:r>
        <w:rPr>
          <w:rFonts w:hAnsi="宋体" w:cs="FangSong_GB2312-Identity-H"/>
          <w:color w:val="000000" w:themeColor="text1"/>
          <w:sz w:val="24"/>
          <w:highlight w:val="none"/>
          <w14:textFill>
            <w14:solidFill>
              <w14:schemeClr w14:val="tx1"/>
            </w14:solidFill>
          </w14:textFill>
        </w:rPr>
        <w:t xml:space="preserve"> </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年</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月</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日</w:t>
      </w:r>
      <w:r/>
    </w:p>
    <w:p>
      <w:pPr>
        <w:jc w:val="center"/>
        <w:spacing w:line="480" w:lineRule="exact"/>
        <w:rPr>
          <w:rFonts w:ascii="宋体" w:hAnsi="宋体" w:cs="Arial"/>
          <w:b/>
          <w:bCs/>
          <w:color w:val="000000" w:themeColor="text1"/>
          <w:sz w:val="36"/>
          <w:szCs w:val="36"/>
          <w:highlight w:val="none"/>
          <w14:textFill>
            <w14:solidFill>
              <w14:schemeClr w14:val="tx1"/>
            </w14:solidFill>
          </w14:textFill>
        </w:rPr>
      </w:pPr>
      <w:r>
        <w:rPr>
          <w:rFonts w:ascii="宋体" w:hAnsi="宋体" w:cs="Arial"/>
          <w:b/>
          <w:bCs/>
          <w:color w:val="000000" w:themeColor="text1"/>
          <w:sz w:val="36"/>
          <w:szCs w:val="36"/>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3"/>
        <w:jc w:val="center"/>
        <w:spacing w:beforeAutospacing="0" w:afterAutospacing="0"/>
        <w:rPr>
          <w:rFonts w:cs="Arial"/>
          <w:b/>
          <w:bCs/>
          <w:color w:val="000000" w:themeColor="text1"/>
          <w:sz w:val="36"/>
          <w:szCs w:val="36"/>
          <w:highlight w:val="none"/>
          <w14:textFill>
            <w14:solidFill>
              <w14:schemeClr w14:val="tx1"/>
            </w14:solidFill>
          </w14:textFill>
        </w:rPr>
      </w:pPr>
      <w:r>
        <w:rPr>
          <w:rFonts w:cs="Arial"/>
          <w:b/>
          <w:bCs/>
          <w:color w:val="000000" w:themeColor="text1"/>
          <w:sz w:val="36"/>
          <w:szCs w:val="36"/>
          <w:highlight w:val="none"/>
          <w14:textFill>
            <w14:solidFill>
              <w14:schemeClr w14:val="tx1"/>
            </w14:solidFill>
          </w14:textFill>
        </w:rPr>
      </w:r>
      <w:r/>
    </w:p>
    <w:p>
      <w:pPr>
        <w:pStyle w:val="813"/>
        <w:jc w:val="center"/>
        <w:spacing w:beforeAutospacing="0" w:afterAutospacing="0"/>
        <w:rPr>
          <w:rFonts w:eastAsia="黑体" w:cs="Arial"/>
          <w:b/>
          <w:bCs/>
          <w:color w:val="000000" w:themeColor="text1"/>
          <w:sz w:val="36"/>
          <w:szCs w:val="36"/>
          <w:highlight w:val="none"/>
          <w14:textFill>
            <w14:solidFill>
              <w14:schemeClr w14:val="tx1"/>
            </w14:solidFill>
          </w14:textFill>
        </w:rPr>
      </w:pPr>
      <w:r>
        <w:rPr>
          <w:rFonts w:hint="eastAsia" w:eastAsia="黑体" w:cs="Arial"/>
          <w:b/>
          <w:bCs/>
          <w:color w:val="000000" w:themeColor="text1"/>
          <w:sz w:val="36"/>
          <w:szCs w:val="36"/>
          <w:highlight w:val="none"/>
          <w14:textFill>
            <w14:solidFill>
              <w14:schemeClr w14:val="tx1"/>
            </w14:solidFill>
          </w14:textFill>
        </w:rPr>
        <w:t xml:space="preserve">（十二）商务要求响应及偏离表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招标要求</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w:t>
            </w:r>
            <w:r/>
          </w:p>
        </w:tc>
        <w:tc>
          <w:tcPr>
            <w:tcW w:w="13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原因</w:t>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注：1、按照基本技术要求详细填列。</w:t>
      </w:r>
      <w:r/>
    </w:p>
    <w:p>
      <w:pPr>
        <w:numPr>
          <w:ilvl w:val="0"/>
          <w:numId w:val="6"/>
        </w:num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行数不够，可自行添加。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3、技术偏离表应针对项目需求逐条应答。</w:t>
      </w:r>
      <w:r/>
    </w:p>
    <w:p>
      <w:pPr>
        <w:ind w:firstLine="120"/>
        <w:jc w:val="left"/>
        <w:spacing w:line="500" w:lineRule="exac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2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6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（盖章或签字）</w:t>
      </w:r>
      <w:r/>
    </w:p>
    <w:p>
      <w:pPr>
        <w:ind w:firstLine="480"/>
        <w:spacing w:before="100" w:beforeAutospacing="1" w:after="100" w:afterAutospacing="1"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  </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w:t>
      </w:r>
      <w:r/>
    </w:p>
    <w:p>
      <w:pPr>
        <w:ind w:firstLine="480"/>
        <w:jc w:val="right"/>
        <w:spacing w:before="100" w:beforeAutospacing="1" w:after="100" w:afterAutospacing="1" w:line="460" w:lineRule="exact"/>
        <w:rPr>
          <w:color w:val="000000" w:themeColor="text1"/>
          <w:sz w:val="2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年    月    日</w:t>
      </w:r>
      <w:r/>
    </w:p>
    <w:p>
      <w:pPr>
        <w:pStyle w:val="813"/>
        <w:jc w:val="center"/>
        <w:spacing w:beforeAutospacing="0" w:afterAutospacing="0"/>
        <w:rPr>
          <w:rFonts w:ascii="黑体" w:eastAsia="黑体" w:cs="黑体"/>
          <w:b/>
          <w:color w:val="000000" w:themeColor="text1"/>
          <w:sz w:val="32"/>
          <w:szCs w:val="32"/>
          <w:highlight w:val="none"/>
          <w14:textFill>
            <w14:solidFill>
              <w14:schemeClr w14:val="tx1"/>
            </w14:solidFill>
          </w14:textFill>
        </w:rPr>
      </w:pPr>
      <w:r>
        <w:rPr>
          <w:rFonts w:hint="eastAsia" w:ascii="黑体" w:eastAsia="黑体" w:cs="黑体"/>
          <w:b/>
          <w:color w:val="000000" w:themeColor="text1"/>
          <w:sz w:val="32"/>
          <w:szCs w:val="32"/>
          <w:highlight w:val="none"/>
          <w14:textFill>
            <w14:solidFill>
              <w14:schemeClr w14:val="tx1"/>
            </w14:solidFill>
          </w14:textFill>
        </w:rPr>
        <w:t xml:space="preserve">（十三）开标一览表</w:t>
      </w:r>
      <w:r/>
    </w:p>
    <w:p>
      <w:pPr>
        <w:jc w:val="left"/>
        <w:spacing w:line="480" w:lineRule="exact"/>
        <w:rPr>
          <w:rFonts w:ascii="宋体" w:hAnsi="宋体" w:cs="Segoe UI"/>
          <w:color w:val="000000" w:themeColor="text1"/>
          <w:sz w:val="27"/>
          <w:szCs w:val="27"/>
          <w:highlight w:val="none"/>
          <w14:textFill>
            <w14:solidFill>
              <w14:schemeClr w14:val="tx1"/>
            </w14:solidFill>
          </w14:textFill>
        </w:rPr>
      </w:pPr>
      <w:r>
        <w:rPr>
          <w:rFonts w:ascii="宋体" w:hAnsi="宋体" w:cs="Segoe UI"/>
          <w:color w:val="000000" w:themeColor="text1"/>
          <w:sz w:val="27"/>
          <w:szCs w:val="27"/>
          <w:highlight w:val="none"/>
          <w14:textFill>
            <w14:solidFill>
              <w14:schemeClr w14:val="tx1"/>
            </w14:solidFill>
          </w14:textFill>
        </w:rPr>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投标人全称（加盖CA电子签章）：</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招标编号：                  分包号：</w:t>
      </w:r>
      <w:r/>
    </w:p>
    <w:tbl>
      <w:tblPr>
        <w:tblStyle w:val="777"/>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大写：</w:t>
            </w:r>
            <w:r/>
          </w:p>
        </w:tc>
      </w:tr>
    </w:tbl>
    <w:p>
      <w:pPr>
        <w:spacing w:before="100" w:after="100"/>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jc w:val="right"/>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ascii="宋体" w:hAnsi="宋体" w:cs="Segoe UI"/>
          <w:color w:val="000000" w:themeColor="text1"/>
          <w:sz w:val="24"/>
          <w:szCs w:val="24"/>
          <w:highlight w:val="none"/>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hint="eastAsia" w:ascii="宋体" w:hAnsi="宋体" w:cs="Segoe UI"/>
          <w:color w:val="000000" w:themeColor="text1"/>
          <w:sz w:val="24"/>
          <w:szCs w:val="24"/>
          <w:highlight w:val="none"/>
          <w14:textFill>
            <w14:solidFill>
              <w14:schemeClr w14:val="tx1"/>
            </w14:solidFill>
          </w14:textFill>
        </w:rPr>
        <w:t xml:space="preserve">注：当招标文件格式与系统不一致时，以系统格式为准。</w:t>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（十四）技术方案、服务承诺、培训承诺等</w:t>
      </w:r>
      <w:r/>
    </w:p>
    <w:p>
      <w:pPr>
        <w:pStyle w:val="813"/>
        <w:jc w:val="center"/>
        <w:spacing w:beforeAutospacing="0" w:afterAutospacing="0"/>
        <w:rPr>
          <w:rFonts w:ascii="黑体" w:eastAsia="黑体" w:cs="黑体"/>
          <w:b/>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000000" w:themeColor="text1"/>
          <w:sz w:val="32"/>
          <w:szCs w:val="32"/>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（十五）盐城市政府采购事前信用承诺书</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（八）本人已认真阅读了上述承诺，并向本单位员工作了宣传教育。</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法定代表人签</w:t>
      </w:r>
      <w:r>
        <w:rPr>
          <w:rFonts w:hint="eastAsia" w:ascii="宋体" w:hAnsi="宋体"/>
          <w:color w:val="000000" w:themeColor="text1"/>
          <w:sz w:val="24"/>
          <w:szCs w:val="24"/>
          <w:highlight w:val="none"/>
          <w:lang w:val="en-US" w:eastAsia="zh-CN"/>
          <w14:textFill>
            <w14:solidFill>
              <w14:schemeClr w14:val="tx1"/>
            </w14:solidFill>
          </w14:textFill>
        </w:rPr>
        <w:t xml:space="preserve">字或盖章</w:t>
      </w:r>
      <w:r>
        <w:rPr>
          <w:rFonts w:hint="eastAsia" w:ascii="宋体" w:hAnsi="宋体"/>
          <w:color w:val="000000" w:themeColor="text1"/>
          <w:sz w:val="24"/>
          <w:szCs w:val="24"/>
          <w:highlight w:val="none"/>
          <w14:textFill>
            <w14:solidFill>
              <w14:schemeClr w14:val="tx1"/>
            </w14:solidFill>
          </w14:textFill>
        </w:rPr>
        <w:t xml:space="preserve">：</w:t>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500" w:lineRule="exact"/>
        <w:widowControl/>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r/>
    </w:p>
    <w:p>
      <w:pPr>
        <w:ind w:left="0" w:right="0" w:firstLine="0"/>
        <w:jc w:val="left"/>
        <w:spacing w:before="100" w:after="100"/>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00" w:after="10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00" w:after="10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193"/>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_GB2312-Identity-H">
    <w:panose1 w:val="02010609060101010101"/>
  </w:font>
  <w:font w:name="Segoe UI">
    <w:panose1 w:val="020B0502040204020203"/>
  </w:font>
  <w:font w:name="仿宋">
    <w:panose1 w:val="02010609060101010101"/>
  </w:font>
  <w:font w:name="Bookshelf Symbol 7">
    <w:panose1 w:val="05010101010101010101"/>
  </w:font>
  <w:font w:name="Symbol">
    <w:panose1 w:val="05050102010706020507"/>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p>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9"/>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5"/>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30"/>
      <w:isLgl w:val="false"/>
      <w:suff w:val="space"/>
      <w:lvlText w:val=""/>
      <w:lvlJc w:val="left"/>
      <w:pPr>
        <w:ind w:left="602" w:hanging="245"/>
        <w:tabs>
          <w:tab w:val="left" w:pos="717" w:leader="none"/>
        </w:tabs>
      </w:pPr>
      <w:rPr>
        <w:rFonts w:hint="default" w:ascii="Wingdings" w:hAnsi="Wingdings"/>
      </w:rPr>
    </w:lvl>
    <w:lvl w:ilvl="1">
      <w:start w:val="1"/>
      <w:numFmt w:val="bullet"/>
      <w:isLgl w:val="false"/>
      <w:suff w:val="space"/>
      <w:lvlText w:val=""/>
      <w:lvlJc w:val="left"/>
      <w:pPr>
        <w:ind w:left="1197" w:hanging="420"/>
        <w:tabs>
          <w:tab w:val="left" w:pos="1197" w:leader="none"/>
        </w:tabs>
      </w:pPr>
      <w:rPr>
        <w:rFonts w:hint="default" w:ascii="Bookshelf Symbol 7" w:hAnsi="Bookshelf Symbol 7"/>
      </w:rPr>
    </w:lvl>
    <w:lvl w:ilvl="2">
      <w:start w:val="1"/>
      <w:numFmt w:val="bullet"/>
      <w:isLgl w:val="false"/>
      <w:suff w:val="space"/>
      <w:lvlText w:val=""/>
      <w:lvlJc w:val="left"/>
      <w:pPr>
        <w:ind w:left="1617" w:hanging="420"/>
        <w:tabs>
          <w:tab w:val="left" w:pos="1617" w:leader="none"/>
        </w:tabs>
      </w:pPr>
      <w:rPr>
        <w:rFonts w:hint="default" w:ascii="Bookshelf Symbol 7" w:hAnsi="Bookshelf Symbol 7"/>
      </w:rPr>
    </w:lvl>
    <w:lvl w:ilvl="3">
      <w:start w:val="1"/>
      <w:numFmt w:val="bullet"/>
      <w:isLgl w:val="false"/>
      <w:suff w:val="space"/>
      <w:lvlText w:val=""/>
      <w:lvlJc w:val="left"/>
      <w:pPr>
        <w:ind w:left="2037" w:hanging="420"/>
        <w:tabs>
          <w:tab w:val="left" w:pos="2037" w:leader="none"/>
        </w:tabs>
      </w:pPr>
      <w:rPr>
        <w:rFonts w:hint="default" w:ascii="Bookshelf Symbol 7" w:hAnsi="Bookshelf Symbol 7"/>
      </w:rPr>
    </w:lvl>
    <w:lvl w:ilvl="4">
      <w:start w:val="1"/>
      <w:numFmt w:val="bullet"/>
      <w:isLgl w:val="false"/>
      <w:suff w:val="space"/>
      <w:lvlText w:val=""/>
      <w:lvlJc w:val="left"/>
      <w:pPr>
        <w:ind w:left="2457" w:hanging="420"/>
        <w:tabs>
          <w:tab w:val="left" w:pos="2457" w:leader="none"/>
        </w:tabs>
      </w:pPr>
      <w:rPr>
        <w:rFonts w:hint="default" w:ascii="Bookshelf Symbol 7" w:hAnsi="Bookshelf Symbol 7"/>
      </w:rPr>
    </w:lvl>
    <w:lvl w:ilvl="5">
      <w:start w:val="1"/>
      <w:numFmt w:val="bullet"/>
      <w:isLgl w:val="false"/>
      <w:suff w:val="space"/>
      <w:lvlText w:val=""/>
      <w:lvlJc w:val="left"/>
      <w:pPr>
        <w:ind w:left="2877" w:hanging="420"/>
        <w:tabs>
          <w:tab w:val="left" w:pos="2877" w:leader="none"/>
        </w:tabs>
      </w:pPr>
      <w:rPr>
        <w:rFonts w:hint="default" w:ascii="Bookshelf Symbol 7" w:hAnsi="Bookshelf Symbol 7"/>
      </w:rPr>
    </w:lvl>
    <w:lvl w:ilvl="6">
      <w:start w:val="1"/>
      <w:numFmt w:val="bullet"/>
      <w:isLgl w:val="false"/>
      <w:suff w:val="space"/>
      <w:lvlText w:val=""/>
      <w:lvlJc w:val="left"/>
      <w:pPr>
        <w:ind w:left="3297" w:hanging="420"/>
        <w:tabs>
          <w:tab w:val="left" w:pos="3297" w:leader="none"/>
        </w:tabs>
      </w:pPr>
      <w:rPr>
        <w:rFonts w:hint="default" w:ascii="Bookshelf Symbol 7" w:hAnsi="Bookshelf Symbol 7"/>
      </w:rPr>
    </w:lvl>
    <w:lvl w:ilvl="7">
      <w:start w:val="1"/>
      <w:numFmt w:val="bullet"/>
      <w:isLgl w:val="false"/>
      <w:suff w:val="space"/>
      <w:lvlText w:val=""/>
      <w:lvlJc w:val="left"/>
      <w:pPr>
        <w:ind w:left="3717" w:hanging="420"/>
        <w:tabs>
          <w:tab w:val="left" w:pos="3717" w:leader="none"/>
        </w:tabs>
      </w:pPr>
      <w:rPr>
        <w:rFonts w:hint="default" w:ascii="Bookshelf Symbol 7" w:hAnsi="Bookshelf Symbol 7"/>
      </w:rPr>
    </w:lvl>
    <w:lvl w:ilvl="8">
      <w:start w:val="1"/>
      <w:numFmt w:val="bullet"/>
      <w:isLgl w:val="false"/>
      <w:suff w:val="space"/>
      <w:lvlText w:val=""/>
      <w:lvlJc w:val="left"/>
      <w:pPr>
        <w:ind w:left="4137" w:hanging="420"/>
        <w:tabs>
          <w:tab w:val="left" w:pos="4137" w:leader="none"/>
        </w:tabs>
      </w:pPr>
      <w:rPr>
        <w:rFonts w:hint="default" w:ascii="Bookshelf Symbol 7" w:hAnsi="Bookshelf Symbol 7"/>
      </w:rPr>
    </w:lvl>
  </w:abstractNum>
  <w:abstractNum w:abstractNumId="3">
    <w:multiLevelType w:val="hybridMultilevel"/>
    <w:lvl w:ilvl="0">
      <w:start w:val="2"/>
      <w:numFmt w:val="decimal"/>
      <w:isLgl w:val="false"/>
      <w:suff w:val="space"/>
      <w:lvlText w:val="%1、"/>
      <w:lvlJc w:val="left"/>
      <w:pPr>
        <w:ind w:left="840" w:hanging="360"/>
        <w:tabs>
          <w:tab w:val="left" w:pos="840" w:leader="none"/>
        </w:tabs>
      </w:pPr>
      <w:rPr>
        <w:rFonts w:hint="default"/>
      </w:rPr>
    </w:lvl>
    <w:lvl w:ilvl="1">
      <w:start w:val="1"/>
      <w:numFmt w:val="lowerLetter"/>
      <w:isLgl w:val="false"/>
      <w:suff w:val="space"/>
      <w:lvlText w:val="%2)"/>
      <w:lvlJc w:val="left"/>
      <w:pPr>
        <w:ind w:left="1320" w:hanging="420"/>
        <w:tabs>
          <w:tab w:val="left" w:pos="1320" w:leader="none"/>
        </w:tabs>
      </w:pPr>
    </w:lvl>
    <w:lvl w:ilvl="2">
      <w:start w:val="1"/>
      <w:numFmt w:val="lowerRoman"/>
      <w:isLgl w:val="false"/>
      <w:suff w:val="space"/>
      <w:lvlText w:val="%3."/>
      <w:lvlJc w:val="right"/>
      <w:pPr>
        <w:ind w:left="1740" w:hanging="420"/>
        <w:tabs>
          <w:tab w:val="left" w:pos="1740" w:leader="none"/>
        </w:tabs>
      </w:pPr>
    </w:lvl>
    <w:lvl w:ilvl="3">
      <w:start w:val="1"/>
      <w:numFmt w:val="decimal"/>
      <w:isLgl w:val="false"/>
      <w:suff w:val="space"/>
      <w:lvlText w:val="%4."/>
      <w:lvlJc w:val="left"/>
      <w:pPr>
        <w:ind w:left="2160" w:hanging="420"/>
        <w:tabs>
          <w:tab w:val="left" w:pos="2160" w:leader="none"/>
        </w:tabs>
      </w:pPr>
    </w:lvl>
    <w:lvl w:ilvl="4">
      <w:start w:val="1"/>
      <w:numFmt w:val="lowerLetter"/>
      <w:isLgl w:val="false"/>
      <w:suff w:val="space"/>
      <w:lvlText w:val="%5)"/>
      <w:lvlJc w:val="left"/>
      <w:pPr>
        <w:ind w:left="2580" w:hanging="420"/>
        <w:tabs>
          <w:tab w:val="left" w:pos="2580" w:leader="none"/>
        </w:tabs>
      </w:pPr>
    </w:lvl>
    <w:lvl w:ilvl="5">
      <w:start w:val="1"/>
      <w:numFmt w:val="lowerRoman"/>
      <w:isLgl w:val="false"/>
      <w:suff w:val="space"/>
      <w:lvlText w:val="%6."/>
      <w:lvlJc w:val="right"/>
      <w:pPr>
        <w:ind w:left="3000" w:hanging="420"/>
        <w:tabs>
          <w:tab w:val="left" w:pos="3000" w:leader="none"/>
        </w:tabs>
      </w:pPr>
    </w:lvl>
    <w:lvl w:ilvl="6">
      <w:start w:val="1"/>
      <w:numFmt w:val="decimal"/>
      <w:isLgl w:val="false"/>
      <w:suff w:val="space"/>
      <w:lvlText w:val="%7."/>
      <w:lvlJc w:val="left"/>
      <w:pPr>
        <w:ind w:left="3420" w:hanging="420"/>
        <w:tabs>
          <w:tab w:val="left" w:pos="3420" w:leader="none"/>
        </w:tabs>
      </w:pPr>
    </w:lvl>
    <w:lvl w:ilvl="7">
      <w:start w:val="1"/>
      <w:numFmt w:val="lowerLetter"/>
      <w:isLgl w:val="false"/>
      <w:suff w:val="space"/>
      <w:lvlText w:val="%8)"/>
      <w:lvlJc w:val="left"/>
      <w:pPr>
        <w:ind w:left="3840" w:hanging="420"/>
        <w:tabs>
          <w:tab w:val="left" w:pos="3840" w:leader="none"/>
        </w:tabs>
      </w:pPr>
    </w:lvl>
    <w:lvl w:ilvl="8">
      <w:start w:val="1"/>
      <w:numFmt w:val="lowerRoman"/>
      <w:isLgl w:val="false"/>
      <w:suff w:val="space"/>
      <w:lvlText w:val="%9."/>
      <w:lvlJc w:val="right"/>
      <w:pPr>
        <w:ind w:left="4260" w:hanging="420"/>
        <w:tabs>
          <w:tab w:val="left" w:pos="4260" w:leader="none"/>
        </w:tabs>
      </w:p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2"/>
      <w:isLgl w:val="false"/>
      <w:suff w:val="nothing"/>
      <w:lvlText w:val=""/>
      <w:lvlJc w:val="left"/>
      <w:pPr>
        <w:ind w:left="0" w:firstLine="0"/>
      </w:pPr>
      <w:rPr>
        <w:rFonts w:hint="eastAsia"/>
      </w:rPr>
    </w:lvl>
    <w:lvl w:ilvl="6">
      <w:start w:val="1"/>
      <w:numFmt w:val="none"/>
      <w:pStyle w:val="773"/>
      <w:isLgl w:val="false"/>
      <w:suff w:val="nothing"/>
      <w:lvlText w:val=""/>
      <w:lvlJc w:val="left"/>
      <w:pPr>
        <w:ind w:left="0" w:firstLine="0"/>
      </w:pPr>
      <w:rPr>
        <w:rFonts w:hint="eastAsia"/>
      </w:rPr>
    </w:lvl>
    <w:lvl w:ilvl="7">
      <w:start w:val="1"/>
      <w:numFmt w:val="none"/>
      <w:pStyle w:val="774"/>
      <w:isLgl w:val="false"/>
      <w:suff w:val="nothing"/>
      <w:lvlText w:val=""/>
      <w:lvlJc w:val="left"/>
      <w:pPr>
        <w:ind w:left="0" w:firstLine="0"/>
      </w:pPr>
      <w:rPr>
        <w:rFonts w:hint="eastAsia"/>
      </w:rPr>
    </w:lvl>
    <w:lvl w:ilvl="8">
      <w:start w:val="1"/>
      <w:numFmt w:val="none"/>
      <w:pStyle w:val="775"/>
      <w:isLgl w:val="false"/>
      <w:suff w:val="nothing"/>
      <w:lvlText w:val=""/>
      <w:lvlJc w:val="left"/>
      <w:pPr>
        <w:ind w:left="0" w:firstLine="0"/>
      </w:pPr>
      <w:rPr>
        <w:rFonts w:hint="eastAsia"/>
      </w:rPr>
    </w:lvl>
  </w:abstractNum>
  <w:abstractNum w:abstractNumId="5">
    <w:multiLevelType w:val="hybridMultilevel"/>
    <w:lvl w:ilvl="0">
      <w:start w:val="1"/>
      <w:numFmt w:val="upperLetter"/>
      <w:pStyle w:val="1033"/>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7">
    <w:name w:val="Heading 1"/>
    <w:basedOn w:val="766"/>
    <w:next w:val="766"/>
    <w:uiPriority w:val="0"/>
    <w:qFormat/>
    <w:pPr>
      <w:jc w:val="center"/>
      <w:keepNext/>
      <w:outlineLvl w:val="0"/>
    </w:pPr>
    <w:rPr>
      <w:rFonts w:ascii="楷体_GB2312" w:eastAsia="楷体_GB2312"/>
      <w:sz w:val="28"/>
      <w:szCs w:val="28"/>
    </w:rPr>
  </w:style>
  <w:style w:type="paragraph" w:styleId="768">
    <w:name w:val="Heading 2"/>
    <w:basedOn w:val="766"/>
    <w:next w:val="7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9">
    <w:name w:val="Heading 3"/>
    <w:basedOn w:val="766"/>
    <w:next w:val="766"/>
    <w:link w:val="1004"/>
    <w:uiPriority w:val="0"/>
    <w:qFormat/>
    <w:pPr>
      <w:keepLines/>
      <w:keepNext/>
      <w:spacing w:before="260" w:after="260" w:line="416" w:lineRule="auto"/>
      <w:outlineLvl w:val="2"/>
    </w:pPr>
    <w:rPr>
      <w:b/>
      <w:bCs/>
      <w:sz w:val="32"/>
      <w:szCs w:val="32"/>
    </w:rPr>
  </w:style>
  <w:style w:type="paragraph" w:styleId="770">
    <w:name w:val="Heading 4"/>
    <w:basedOn w:val="766"/>
    <w:next w:val="778"/>
    <w:uiPriority w:val="0"/>
    <w:qFormat/>
    <w:pPr>
      <w:keepLines/>
      <w:keepNext/>
      <w:spacing w:before="280" w:after="290" w:line="376" w:lineRule="auto"/>
      <w:outlineLvl w:val="3"/>
    </w:pPr>
    <w:rPr>
      <w:rFonts w:ascii="Arial" w:hAnsi="Arial" w:eastAsia="黑体" w:cs="Arial"/>
      <w:b/>
      <w:bCs/>
      <w:sz w:val="28"/>
      <w:szCs w:val="28"/>
    </w:rPr>
  </w:style>
  <w:style w:type="paragraph" w:styleId="771">
    <w:name w:val="Heading 5"/>
    <w:basedOn w:val="766"/>
    <w:next w:val="778"/>
    <w:uiPriority w:val="0"/>
    <w:qFormat/>
    <w:pPr>
      <w:keepNext/>
      <w:outlineLvl w:val="4"/>
    </w:pPr>
    <w:rPr>
      <w:rFonts w:ascii="宋体"/>
      <w:color w:val="000000"/>
      <w:sz w:val="28"/>
      <w:szCs w:val="28"/>
    </w:rPr>
  </w:style>
  <w:style w:type="paragraph" w:styleId="772">
    <w:name w:val="Heading 6"/>
    <w:basedOn w:val="766"/>
    <w:next w:val="7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3">
    <w:name w:val="Heading 7"/>
    <w:basedOn w:val="766"/>
    <w:next w:val="766"/>
    <w:uiPriority w:val="0"/>
    <w:qFormat/>
    <w:pPr>
      <w:numPr>
        <w:ilvl w:val="6"/>
        <w:numId w:val="1"/>
      </w:numPr>
      <w:keepLines/>
      <w:keepNext/>
      <w:spacing w:before="240" w:after="64" w:line="320" w:lineRule="auto"/>
      <w:outlineLvl w:val="6"/>
    </w:pPr>
    <w:rPr>
      <w:b/>
      <w:bCs/>
      <w:sz w:val="24"/>
      <w:szCs w:val="24"/>
    </w:rPr>
  </w:style>
  <w:style w:type="paragraph" w:styleId="774">
    <w:name w:val="Heading 8"/>
    <w:basedOn w:val="766"/>
    <w:next w:val="7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5">
    <w:name w:val="Heading 9"/>
    <w:basedOn w:val="766"/>
    <w:next w:val="766"/>
    <w:uiPriority w:val="0"/>
    <w:qFormat/>
    <w:pPr>
      <w:numPr>
        <w:ilvl w:val="8"/>
        <w:numId w:val="1"/>
      </w:numPr>
      <w:keepLines/>
      <w:keepNext/>
      <w:spacing w:before="240" w:after="64" w:line="320" w:lineRule="auto"/>
      <w:outlineLvl w:val="8"/>
    </w:pPr>
    <w:rPr>
      <w:rFonts w:ascii="Arial" w:hAnsi="Arial" w:eastAsia="黑体"/>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Normal Indent"/>
    <w:basedOn w:val="766"/>
    <w:link w:val="1003"/>
    <w:uiPriority w:val="0"/>
    <w:qFormat/>
    <w:pPr>
      <w:ind w:firstLine="420"/>
    </w:pPr>
  </w:style>
  <w:style w:type="paragraph" w:styleId="779">
    <w:name w:val="List 3"/>
    <w:basedOn w:val="766"/>
    <w:uiPriority w:val="0"/>
    <w:qFormat/>
    <w:pPr>
      <w:ind w:left="100" w:hanging="200"/>
    </w:pPr>
  </w:style>
  <w:style w:type="paragraph" w:styleId="780">
    <w:name w:val="toc 7"/>
    <w:basedOn w:val="766"/>
    <w:next w:val="766"/>
    <w:uiPriority w:val="0"/>
    <w:semiHidden/>
    <w:qFormat/>
    <w:pPr>
      <w:ind w:left="1260"/>
      <w:jc w:val="left"/>
    </w:pPr>
  </w:style>
  <w:style w:type="paragraph" w:styleId="781">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Document Map"/>
    <w:basedOn w:val="766"/>
    <w:link w:val="1005"/>
    <w:uiPriority w:val="0"/>
    <w:semiHidden/>
    <w:qFormat/>
    <w:pPr>
      <w:shd w:val="clear" w:color="auto" w:fill="000080"/>
    </w:pPr>
  </w:style>
  <w:style w:type="paragraph" w:styleId="783">
    <w:name w:val="toa heading"/>
    <w:basedOn w:val="766"/>
    <w:next w:val="766"/>
    <w:uiPriority w:val="0"/>
    <w:qFormat/>
    <w:pPr>
      <w:spacing w:before="120"/>
    </w:pPr>
    <w:rPr>
      <w:rFonts w:ascii="Arial" w:hAnsi="Arial" w:cs="Arial"/>
      <w:sz w:val="24"/>
    </w:rPr>
  </w:style>
  <w:style w:type="paragraph" w:styleId="784">
    <w:name w:val="annotation text"/>
    <w:basedOn w:val="766"/>
    <w:uiPriority w:val="0"/>
    <w:semiHidden/>
    <w:qFormat/>
    <w:pPr>
      <w:jc w:val="left"/>
    </w:pPr>
  </w:style>
  <w:style w:type="paragraph" w:styleId="785">
    <w:name w:val="Body Text 3"/>
    <w:basedOn w:val="766"/>
    <w:uiPriority w:val="0"/>
    <w:qFormat/>
    <w:rPr>
      <w:rFonts w:ascii="仿宋_GB2312" w:hAnsi="Arial" w:eastAsia="仿宋_GB2312"/>
      <w:sz w:val="32"/>
      <w:szCs w:val="32"/>
    </w:rPr>
  </w:style>
  <w:style w:type="paragraph" w:styleId="786">
    <w:name w:val="Body Text"/>
    <w:basedOn w:val="766"/>
    <w:uiPriority w:val="0"/>
    <w:qFormat/>
    <w:rPr>
      <w:rFonts w:ascii="楷体_GB2312" w:hAnsi="Arial" w:eastAsia="楷体_GB2312"/>
      <w:sz w:val="28"/>
      <w:szCs w:val="28"/>
    </w:rPr>
  </w:style>
  <w:style w:type="paragraph" w:styleId="787">
    <w:name w:val="Body Text Indent"/>
    <w:basedOn w:val="766"/>
    <w:next w:val="788"/>
    <w:uiPriority w:val="0"/>
    <w:qFormat/>
    <w:pPr>
      <w:ind w:firstLine="645"/>
    </w:pPr>
    <w:rPr>
      <w:rFonts w:ascii="楷体_GB2312" w:eastAsia="楷体_GB2312"/>
      <w:sz w:val="32"/>
      <w:szCs w:val="32"/>
    </w:rPr>
  </w:style>
  <w:style w:type="paragraph" w:styleId="788">
    <w:name w:val="envelope return"/>
    <w:basedOn w:val="766"/>
    <w:uiPriority w:val="0"/>
    <w:qFormat/>
    <w:rPr>
      <w:rFonts w:ascii="Arial" w:hAnsi="Arial"/>
    </w:rPr>
  </w:style>
  <w:style w:type="paragraph" w:styleId="789">
    <w:name w:val="List 2"/>
    <w:basedOn w:val="766"/>
    <w:uiPriority w:val="0"/>
    <w:qFormat/>
    <w:pPr>
      <w:ind w:left="100" w:hanging="200"/>
    </w:pPr>
  </w:style>
  <w:style w:type="paragraph" w:styleId="790">
    <w:name w:val="index 4"/>
    <w:basedOn w:val="766"/>
    <w:next w:val="766"/>
    <w:uiPriority w:val="99"/>
    <w:unhideWhenUsed/>
    <w:qFormat/>
    <w:pPr>
      <w:ind w:left="600"/>
      <w:spacing w:before="100" w:beforeAutospacing="1" w:after="100" w:afterAutospacing="1"/>
    </w:pPr>
    <w:rPr>
      <w:rFonts w:ascii="宋体"/>
      <w:b/>
      <w:bCs/>
      <w:position w:val="-10"/>
      <w:sz w:val="24"/>
      <w:szCs w:val="22"/>
    </w:rPr>
  </w:style>
  <w:style w:type="paragraph" w:styleId="791">
    <w:name w:val="toc 5"/>
    <w:basedOn w:val="766"/>
    <w:next w:val="766"/>
    <w:uiPriority w:val="0"/>
    <w:semiHidden/>
    <w:qFormat/>
    <w:pPr>
      <w:ind w:left="840"/>
      <w:jc w:val="left"/>
    </w:pPr>
  </w:style>
  <w:style w:type="paragraph" w:styleId="792">
    <w:name w:val="toc 3"/>
    <w:basedOn w:val="766"/>
    <w:next w:val="766"/>
    <w:uiPriority w:val="0"/>
    <w:semiHidden/>
    <w:qFormat/>
    <w:pPr>
      <w:ind w:left="420"/>
      <w:jc w:val="left"/>
    </w:pPr>
    <w:rPr>
      <w:i/>
      <w:iCs/>
      <w:szCs w:val="24"/>
    </w:rPr>
  </w:style>
  <w:style w:type="paragraph" w:styleId="793">
    <w:name w:val="Plain Text"/>
    <w:basedOn w:val="766"/>
    <w:link w:val="1006"/>
    <w:uiPriority w:val="99"/>
    <w:qFormat/>
    <w:rPr>
      <w:rFonts w:ascii="宋体" w:hAnsi="Courier New"/>
    </w:rPr>
  </w:style>
  <w:style w:type="paragraph" w:styleId="794">
    <w:name w:val="toc 8"/>
    <w:basedOn w:val="766"/>
    <w:next w:val="766"/>
    <w:uiPriority w:val="0"/>
    <w:semiHidden/>
    <w:qFormat/>
    <w:pPr>
      <w:ind w:left="1470"/>
      <w:jc w:val="left"/>
    </w:pPr>
  </w:style>
  <w:style w:type="paragraph" w:styleId="795">
    <w:name w:val="Date"/>
    <w:basedOn w:val="766"/>
    <w:next w:val="766"/>
    <w:uiPriority w:val="0"/>
    <w:qFormat/>
    <w:rPr>
      <w:sz w:val="24"/>
      <w:szCs w:val="24"/>
    </w:rPr>
  </w:style>
  <w:style w:type="paragraph" w:styleId="796">
    <w:name w:val="Body Text Indent 2"/>
    <w:basedOn w:val="766"/>
    <w:uiPriority w:val="0"/>
    <w:qFormat/>
    <w:pPr>
      <w:ind w:left="630" w:firstLine="645"/>
    </w:pPr>
    <w:rPr>
      <w:rFonts w:ascii="Arial" w:hAnsi="Arial" w:eastAsia="仿宋_GB2312" w:cs="Arial"/>
      <w:sz w:val="32"/>
      <w:szCs w:val="32"/>
    </w:rPr>
  </w:style>
  <w:style w:type="paragraph" w:styleId="797">
    <w:name w:val="endnote text"/>
    <w:basedOn w:val="766"/>
    <w:link w:val="1000"/>
    <w:uiPriority w:val="99"/>
    <w:semiHidden/>
    <w:unhideWhenUsed/>
    <w:qFormat/>
    <w:rPr>
      <w:sz w:val="20"/>
    </w:rPr>
  </w:style>
  <w:style w:type="paragraph" w:styleId="798">
    <w:name w:val="Balloon Text"/>
    <w:basedOn w:val="766"/>
    <w:uiPriority w:val="0"/>
    <w:semiHidden/>
    <w:qFormat/>
    <w:rPr>
      <w:sz w:val="18"/>
      <w:szCs w:val="18"/>
    </w:rPr>
  </w:style>
  <w:style w:type="paragraph" w:styleId="799">
    <w:name w:val="Footer"/>
    <w:basedOn w:val="766"/>
    <w:uiPriority w:val="0"/>
    <w:qFormat/>
    <w:pPr>
      <w:jc w:val="left"/>
      <w:tabs>
        <w:tab w:val="center" w:pos="4153" w:leader="none"/>
        <w:tab w:val="right" w:pos="8306" w:leader="none"/>
      </w:tabs>
    </w:pPr>
    <w:rPr>
      <w:sz w:val="18"/>
      <w:szCs w:val="18"/>
    </w:rPr>
  </w:style>
  <w:style w:type="paragraph" w:styleId="800">
    <w:name w:val="Header"/>
    <w:basedOn w:val="766"/>
    <w:uiPriority w:val="0"/>
    <w:qFormat/>
    <w:pPr>
      <w:jc w:val="center"/>
      <w:tabs>
        <w:tab w:val="center" w:pos="4153" w:leader="none"/>
        <w:tab w:val="right" w:pos="8306" w:leader="none"/>
      </w:tabs>
      <w:pBdr>
        <w:bottom w:val="single" w:color="000000" w:sz="6" w:space="1"/>
      </w:pBdr>
    </w:pPr>
    <w:rPr>
      <w:sz w:val="18"/>
      <w:szCs w:val="18"/>
    </w:rPr>
  </w:style>
  <w:style w:type="paragraph" w:styleId="801">
    <w:name w:val="toc 1"/>
    <w:basedOn w:val="766"/>
    <w:next w:val="766"/>
    <w:uiPriority w:val="0"/>
    <w:semiHidden/>
    <w:qFormat/>
    <w:pPr>
      <w:jc w:val="left"/>
      <w:spacing w:before="120" w:after="120" w:line="400" w:lineRule="exact"/>
      <w:tabs>
        <w:tab w:val="right" w:pos="8720" w:leader="dot"/>
      </w:tabs>
    </w:pPr>
    <w:rPr>
      <w:rFonts w:ascii="宋体" w:hAnsi="宋体"/>
      <w:caps/>
      <w:sz w:val="24"/>
      <w:szCs w:val="24"/>
    </w:rPr>
  </w:style>
  <w:style w:type="paragraph" w:styleId="802">
    <w:name w:val="toc 4"/>
    <w:basedOn w:val="766"/>
    <w:next w:val="766"/>
    <w:uiPriority w:val="0"/>
    <w:semiHidden/>
    <w:qFormat/>
    <w:pPr>
      <w:ind w:left="630"/>
      <w:jc w:val="left"/>
    </w:pPr>
  </w:style>
  <w:style w:type="paragraph" w:styleId="803">
    <w:name w:val="Subtitle"/>
    <w:basedOn w:val="766"/>
    <w:next w:val="766"/>
    <w:link w:val="866"/>
    <w:uiPriority w:val="11"/>
    <w:qFormat/>
    <w:pPr>
      <w:spacing w:before="200" w:after="200"/>
    </w:pPr>
    <w:rPr>
      <w:sz w:val="24"/>
      <w:szCs w:val="24"/>
    </w:rPr>
  </w:style>
  <w:style w:type="paragraph" w:styleId="804">
    <w:name w:val="List"/>
    <w:basedOn w:val="766"/>
    <w:uiPriority w:val="0"/>
    <w:qFormat/>
    <w:pPr>
      <w:ind w:left="200" w:hanging="200"/>
    </w:pPr>
  </w:style>
  <w:style w:type="paragraph" w:styleId="805">
    <w:name w:val="footnote text"/>
    <w:basedOn w:val="766"/>
    <w:link w:val="999"/>
    <w:uiPriority w:val="99"/>
    <w:semiHidden/>
    <w:unhideWhenUsed/>
    <w:qFormat/>
    <w:pPr>
      <w:spacing w:after="40"/>
    </w:pPr>
    <w:rPr>
      <w:sz w:val="18"/>
    </w:rPr>
  </w:style>
  <w:style w:type="paragraph" w:styleId="806">
    <w:name w:val="toc 6"/>
    <w:basedOn w:val="766"/>
    <w:next w:val="766"/>
    <w:uiPriority w:val="0"/>
    <w:semiHidden/>
    <w:qFormat/>
    <w:pPr>
      <w:ind w:left="1050"/>
      <w:jc w:val="left"/>
    </w:pPr>
  </w:style>
  <w:style w:type="paragraph" w:styleId="807">
    <w:name w:val="Body Text Indent 3"/>
    <w:basedOn w:val="766"/>
    <w:uiPriority w:val="0"/>
    <w:qFormat/>
    <w:pPr>
      <w:ind w:left="645" w:firstLine="645"/>
    </w:pPr>
    <w:rPr>
      <w:rFonts w:ascii="Arial" w:hAnsi="Arial" w:eastAsia="仿宋_GB2312" w:cs="Arial"/>
      <w:color w:val="ffff00"/>
      <w:sz w:val="32"/>
      <w:szCs w:val="32"/>
    </w:rPr>
  </w:style>
  <w:style w:type="paragraph" w:styleId="808">
    <w:name w:val="table of figures"/>
    <w:basedOn w:val="766"/>
    <w:next w:val="766"/>
    <w:uiPriority w:val="0"/>
    <w:semiHidden/>
    <w:qFormat/>
    <w:pPr>
      <w:ind w:left="840" w:hanging="420"/>
    </w:pPr>
  </w:style>
  <w:style w:type="paragraph" w:styleId="809">
    <w:name w:val="toc 2"/>
    <w:basedOn w:val="766"/>
    <w:next w:val="766"/>
    <w:uiPriority w:val="0"/>
    <w:semiHidden/>
    <w:qFormat/>
    <w:pPr>
      <w:ind w:left="210"/>
      <w:jc w:val="left"/>
    </w:pPr>
    <w:rPr>
      <w:smallCaps/>
      <w:szCs w:val="24"/>
    </w:rPr>
  </w:style>
  <w:style w:type="paragraph" w:styleId="810">
    <w:name w:val="toc 9"/>
    <w:basedOn w:val="766"/>
    <w:next w:val="766"/>
    <w:uiPriority w:val="0"/>
    <w:semiHidden/>
    <w:qFormat/>
    <w:pPr>
      <w:ind w:left="1680"/>
      <w:jc w:val="left"/>
    </w:pPr>
  </w:style>
  <w:style w:type="paragraph" w:styleId="811">
    <w:name w:val="Body Text 2"/>
    <w:basedOn w:val="766"/>
    <w:uiPriority w:val="0"/>
    <w:qFormat/>
    <w:pPr>
      <w:jc w:val="center"/>
      <w:widowControl/>
    </w:pPr>
    <w:rPr>
      <w:rFonts w:ascii="楷体_GB2312" w:eastAsia="楷体_GB2312"/>
      <w:sz w:val="28"/>
      <w:szCs w:val="28"/>
    </w:rPr>
  </w:style>
  <w:style w:type="paragraph" w:styleId="812">
    <w:name w:val="Message Header"/>
    <w:basedOn w:val="76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813">
    <w:name w:val="Normal (Web)"/>
    <w:basedOn w:val="766"/>
    <w:uiPriority w:val="0"/>
    <w:qFormat/>
    <w:pPr>
      <w:jc w:val="left"/>
      <w:spacing w:before="100" w:beforeAutospacing="1" w:after="100" w:afterAutospacing="1"/>
      <w:widowControl/>
    </w:pPr>
    <w:rPr>
      <w:rFonts w:ascii="宋体" w:hAnsi="宋体" w:cs="宋体"/>
      <w:sz w:val="24"/>
      <w:szCs w:val="24"/>
    </w:rPr>
  </w:style>
  <w:style w:type="paragraph" w:styleId="814">
    <w:name w:val="index 1"/>
    <w:basedOn w:val="766"/>
    <w:next w:val="766"/>
    <w:uiPriority w:val="0"/>
    <w:semiHidden/>
    <w:qFormat/>
    <w:pPr>
      <w:spacing w:line="240" w:lineRule="atLeast"/>
    </w:pPr>
    <w:rPr>
      <w:b/>
      <w:bCs/>
    </w:rPr>
  </w:style>
  <w:style w:type="paragraph" w:styleId="815">
    <w:name w:val="Title"/>
    <w:basedOn w:val="766"/>
    <w:next w:val="766"/>
    <w:link w:val="865"/>
    <w:uiPriority w:val="10"/>
    <w:qFormat/>
    <w:pPr>
      <w:contextualSpacing/>
      <w:spacing w:before="300" w:after="200"/>
    </w:pPr>
    <w:rPr>
      <w:sz w:val="48"/>
      <w:szCs w:val="48"/>
    </w:rPr>
  </w:style>
  <w:style w:type="paragraph" w:styleId="816">
    <w:name w:val="annotation subject"/>
    <w:basedOn w:val="784"/>
    <w:next w:val="784"/>
    <w:uiPriority w:val="0"/>
    <w:semiHidden/>
    <w:qFormat/>
    <w:rPr>
      <w:b/>
      <w:bCs/>
    </w:rPr>
  </w:style>
  <w:style w:type="paragraph" w:styleId="817">
    <w:name w:val="Body Text First Indent"/>
    <w:basedOn w:val="786"/>
    <w:next w:val="766"/>
    <w:uiPriority w:val="0"/>
    <w:qFormat/>
    <w:pPr>
      <w:ind w:firstLine="200"/>
      <w:spacing w:line="360" w:lineRule="auto"/>
    </w:pPr>
    <w:rPr>
      <w:rFonts w:ascii="仿宋_GB2312" w:eastAsia="仿宋_GB2312"/>
      <w:sz w:val="30"/>
      <w:szCs w:val="30"/>
    </w:rPr>
  </w:style>
  <w:style w:type="paragraph" w:styleId="818">
    <w:name w:val="Body Text First Indent 2"/>
    <w:basedOn w:val="787"/>
    <w:next w:val="778"/>
    <w:uiPriority w:val="0"/>
    <w:qFormat/>
    <w:pPr>
      <w:ind w:firstLine="420"/>
      <w:spacing w:line="360" w:lineRule="auto"/>
    </w:pPr>
    <w:rPr>
      <w:rFonts w:ascii="宋体" w:hAnsi="宋体" w:eastAsia="宋体"/>
      <w:sz w:val="21"/>
      <w:szCs w:val="20"/>
    </w:rPr>
  </w:style>
  <w:style w:type="table" w:styleId="819">
    <w:name w:val="Table Grid"/>
    <w:basedOn w:val="7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76"/>
    <w:uiPriority w:val="0"/>
    <w:qFormat/>
    <w:rPr>
      <w:b/>
      <w:bCs/>
    </w:rPr>
  </w:style>
  <w:style w:type="character" w:styleId="821">
    <w:name w:val="endnote reference"/>
    <w:basedOn w:val="776"/>
    <w:uiPriority w:val="99"/>
    <w:semiHidden/>
    <w:unhideWhenUsed/>
    <w:qFormat/>
    <w:rPr>
      <w:vertAlign w:val="superscript"/>
    </w:rPr>
  </w:style>
  <w:style w:type="character" w:styleId="822">
    <w:name w:val="page number"/>
    <w:uiPriority w:val="0"/>
    <w:qFormat/>
  </w:style>
  <w:style w:type="character" w:styleId="823">
    <w:name w:val="FollowedHyperlink"/>
    <w:uiPriority w:val="0"/>
    <w:qFormat/>
    <w:rPr>
      <w:color w:val="800080"/>
      <w:u w:val="single"/>
    </w:rPr>
  </w:style>
  <w:style w:type="character" w:styleId="824">
    <w:name w:val="Emphasis"/>
    <w:uiPriority w:val="20"/>
    <w:qFormat/>
    <w:rPr>
      <w:i/>
    </w:rPr>
  </w:style>
  <w:style w:type="character" w:styleId="825">
    <w:name w:val="Hyperlink"/>
    <w:uiPriority w:val="0"/>
    <w:qFormat/>
    <w:rPr>
      <w:color w:val="0000ff"/>
      <w:u w:val="single"/>
    </w:rPr>
  </w:style>
  <w:style w:type="character" w:styleId="826">
    <w:name w:val="annotation reference"/>
    <w:uiPriority w:val="0"/>
    <w:semiHidden/>
    <w:qFormat/>
    <w:rPr>
      <w:sz w:val="21"/>
      <w:szCs w:val="21"/>
    </w:rPr>
  </w:style>
  <w:style w:type="character" w:styleId="827">
    <w:name w:val="footnote reference"/>
    <w:basedOn w:val="776"/>
    <w:uiPriority w:val="99"/>
    <w:unhideWhenUsed/>
    <w:qFormat/>
    <w:rPr>
      <w:vertAlign w:val="superscript"/>
    </w:rPr>
  </w:style>
  <w:style w:type="character" w:styleId="828" w:customStyle="1">
    <w:name w:val="Title Char"/>
    <w:basedOn w:val="776"/>
    <w:uiPriority w:val="10"/>
    <w:qFormat/>
    <w:rPr>
      <w:sz w:val="48"/>
      <w:szCs w:val="48"/>
    </w:rPr>
  </w:style>
  <w:style w:type="character" w:styleId="829" w:customStyle="1">
    <w:name w:val="Subtitle Char"/>
    <w:basedOn w:val="776"/>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table" w:styleId="832"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Default"/>
    <w:basedOn w:val="766"/>
    <w:uiPriority w:val="0"/>
    <w:qFormat/>
    <w:pPr>
      <w:jc w:val="left"/>
    </w:pPr>
    <w:rPr>
      <w:rFonts w:ascii="宋体" w:hAnsi="Calibri" w:cs="宋体"/>
      <w:color w:val="000000"/>
      <w:sz w:val="24"/>
    </w:rPr>
  </w:style>
  <w:style w:type="character" w:styleId="855" w:customStyle="1">
    <w:name w:val="Heading 1 Char"/>
    <w:basedOn w:val="776"/>
    <w:uiPriority w:val="9"/>
    <w:qFormat/>
    <w:rPr>
      <w:rFonts w:ascii="Arial" w:hAnsi="Arial" w:eastAsia="Arial" w:cs="Arial"/>
      <w:sz w:val="40"/>
      <w:szCs w:val="40"/>
    </w:rPr>
  </w:style>
  <w:style w:type="character" w:styleId="856" w:customStyle="1">
    <w:name w:val="Heading 2 Char"/>
    <w:basedOn w:val="776"/>
    <w:uiPriority w:val="9"/>
    <w:qFormat/>
    <w:rPr>
      <w:rFonts w:ascii="Arial" w:hAnsi="Arial" w:eastAsia="Arial" w:cs="Arial"/>
      <w:sz w:val="34"/>
    </w:rPr>
  </w:style>
  <w:style w:type="character" w:styleId="857" w:customStyle="1">
    <w:name w:val="Heading 3 Char"/>
    <w:basedOn w:val="776"/>
    <w:uiPriority w:val="9"/>
    <w:qFormat/>
    <w:rPr>
      <w:rFonts w:ascii="Arial" w:hAnsi="Arial" w:eastAsia="Arial" w:cs="Arial"/>
      <w:sz w:val="30"/>
      <w:szCs w:val="30"/>
    </w:rPr>
  </w:style>
  <w:style w:type="character" w:styleId="858" w:customStyle="1">
    <w:name w:val="Heading 4 Char"/>
    <w:basedOn w:val="776"/>
    <w:uiPriority w:val="9"/>
    <w:qFormat/>
    <w:rPr>
      <w:rFonts w:ascii="Arial" w:hAnsi="Arial" w:eastAsia="Arial" w:cs="Arial"/>
      <w:b/>
      <w:bCs/>
      <w:sz w:val="26"/>
      <w:szCs w:val="26"/>
    </w:rPr>
  </w:style>
  <w:style w:type="character" w:styleId="859" w:customStyle="1">
    <w:name w:val="Heading 5 Char"/>
    <w:basedOn w:val="776"/>
    <w:uiPriority w:val="9"/>
    <w:qFormat/>
    <w:rPr>
      <w:rFonts w:ascii="Arial" w:hAnsi="Arial" w:eastAsia="Arial" w:cs="Arial"/>
      <w:b/>
      <w:bCs/>
      <w:sz w:val="24"/>
      <w:szCs w:val="24"/>
    </w:rPr>
  </w:style>
  <w:style w:type="character" w:styleId="860" w:customStyle="1">
    <w:name w:val="Heading 6 Char"/>
    <w:basedOn w:val="776"/>
    <w:uiPriority w:val="9"/>
    <w:qFormat/>
    <w:rPr>
      <w:rFonts w:ascii="Arial" w:hAnsi="Arial" w:eastAsia="Arial" w:cs="Arial"/>
      <w:b/>
      <w:bCs/>
      <w:sz w:val="22"/>
      <w:szCs w:val="22"/>
    </w:rPr>
  </w:style>
  <w:style w:type="character" w:styleId="861" w:customStyle="1">
    <w:name w:val="Heading 7 Char"/>
    <w:basedOn w:val="776"/>
    <w:uiPriority w:val="9"/>
    <w:qFormat/>
    <w:rPr>
      <w:rFonts w:ascii="Arial" w:hAnsi="Arial" w:eastAsia="Arial" w:cs="Arial"/>
      <w:b/>
      <w:bCs/>
      <w:i/>
      <w:iCs/>
      <w:sz w:val="22"/>
      <w:szCs w:val="22"/>
    </w:rPr>
  </w:style>
  <w:style w:type="character" w:styleId="862" w:customStyle="1">
    <w:name w:val="Heading 8 Char"/>
    <w:basedOn w:val="776"/>
    <w:uiPriority w:val="9"/>
    <w:qFormat/>
    <w:rPr>
      <w:rFonts w:ascii="Arial" w:hAnsi="Arial" w:eastAsia="Arial" w:cs="Arial"/>
      <w:i/>
      <w:iCs/>
      <w:sz w:val="22"/>
      <w:szCs w:val="22"/>
    </w:rPr>
  </w:style>
  <w:style w:type="character" w:styleId="863" w:customStyle="1">
    <w:name w:val="Heading 9 Char"/>
    <w:basedOn w:val="776"/>
    <w:uiPriority w:val="9"/>
    <w:qFormat/>
    <w:rPr>
      <w:rFonts w:ascii="Arial" w:hAnsi="Arial" w:eastAsia="Arial" w:cs="Arial"/>
      <w:i/>
      <w:iCs/>
      <w:sz w:val="21"/>
      <w:szCs w:val="21"/>
    </w:rPr>
  </w:style>
  <w:style w:type="paragraph" w:styleId="864">
    <w:name w:val="No Spacing"/>
    <w:uiPriority w:val="1"/>
    <w:qFormat/>
    <w:rPr>
      <w:rFonts w:hint="default" w:ascii="Times New Roman" w:hAnsi="Times New Roman" w:eastAsia="宋体" w:cs="Times New Roman"/>
      <w:lang w:val="en-US" w:eastAsia="zh-CN" w:bidi="ar-SA"/>
    </w:rPr>
  </w:style>
  <w:style w:type="character" w:styleId="865" w:customStyle="1">
    <w:name w:val="标题 Char"/>
    <w:basedOn w:val="776"/>
    <w:link w:val="815"/>
    <w:uiPriority w:val="10"/>
    <w:qFormat/>
    <w:rPr>
      <w:sz w:val="48"/>
      <w:szCs w:val="48"/>
    </w:rPr>
  </w:style>
  <w:style w:type="character" w:styleId="866" w:customStyle="1">
    <w:name w:val="副标题 Char"/>
    <w:basedOn w:val="776"/>
    <w:link w:val="803"/>
    <w:uiPriority w:val="11"/>
    <w:qFormat/>
    <w:rPr>
      <w:sz w:val="24"/>
      <w:szCs w:val="24"/>
    </w:rPr>
  </w:style>
  <w:style w:type="paragraph" w:styleId="867">
    <w:name w:val="Quote"/>
    <w:basedOn w:val="766"/>
    <w:next w:val="766"/>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766"/>
    <w:next w:val="766"/>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Header Char"/>
    <w:basedOn w:val="776"/>
    <w:uiPriority w:val="99"/>
    <w:qFormat/>
  </w:style>
  <w:style w:type="character" w:styleId="872" w:customStyle="1">
    <w:name w:val="Footer Char"/>
    <w:basedOn w:val="776"/>
    <w:uiPriority w:val="99"/>
    <w:qFormat/>
  </w:style>
  <w:style w:type="character" w:styleId="873" w:customStyle="1">
    <w:name w:val="Caption Char"/>
    <w:uiPriority w:val="99"/>
    <w:qFormat/>
  </w:style>
  <w:style w:type="table" w:styleId="874" w:customStyle="1">
    <w:name w:val="Table Grid Light"/>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无格式表格 11"/>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7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7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7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7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7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7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77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77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网格表 31"/>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7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7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7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7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77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77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7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7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basedOn w:val="7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basedOn w:val="77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basedOn w:val="7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7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7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网格表 5 深色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网格表 6 彩色1"/>
    <w:basedOn w:val="7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77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7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77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9" w:customStyle="1">
    <w:name w:val="Grid Table 6 Colorful - Accent 4"/>
    <w:basedOn w:val="7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77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basedOn w:val="77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网格表 7 彩色1"/>
    <w:basedOn w:val="7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77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77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77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77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77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77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清单表 1 浅色1"/>
    <w:basedOn w:val="7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77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77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77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77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77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77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清单表 21"/>
    <w:basedOn w:val="7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77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basedOn w:val="77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basedOn w:val="77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basedOn w:val="77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basedOn w:val="77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basedOn w:val="77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清单表 3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77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7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77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77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77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77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77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77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77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77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77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77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清单表 5 深色1"/>
    <w:basedOn w:val="7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basedOn w:val="77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77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77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77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77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77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清单表 6 彩色1"/>
    <w:basedOn w:val="7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basedOn w:val="77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basedOn w:val="77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basedOn w:val="77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basedOn w:val="77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basedOn w:val="77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basedOn w:val="77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清单表 7 彩色1"/>
    <w:basedOn w:val="7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77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77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77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77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77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77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basedOn w:val="7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basedOn w:val="7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77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basedOn w:val="77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basedOn w:val="77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basedOn w:val="77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basedOn w:val="77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basedOn w:val="77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basedOn w:val="7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7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basedOn w:val="7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basedOn w:val="7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basedOn w:val="77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basedOn w:val="7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basedOn w:val="7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脚注文本 Char"/>
    <w:link w:val="805"/>
    <w:uiPriority w:val="99"/>
    <w:qFormat/>
    <w:rPr>
      <w:sz w:val="18"/>
    </w:rPr>
  </w:style>
  <w:style w:type="character" w:styleId="1000" w:customStyle="1">
    <w:name w:val="尾注文本 Char"/>
    <w:link w:val="797"/>
    <w:uiPriority w:val="99"/>
    <w:qFormat/>
    <w:rPr>
      <w:sz w:val="20"/>
    </w:rPr>
  </w:style>
  <w:style w:type="paragraph" w:styleId="1001" w:customStyle="1">
    <w:name w:val="TOC 标题1"/>
    <w:uiPriority w:val="39"/>
    <w:unhideWhenUsed/>
    <w:qFormat/>
    <w:rPr>
      <w:rFonts w:hint="default" w:ascii="Times New Roman" w:hAnsi="Times New Roman" w:eastAsia="宋体" w:cs="Times New Roman"/>
      <w:lang w:val="en-US" w:eastAsia="zh-CN" w:bidi="ar-SA"/>
    </w:rPr>
  </w:style>
  <w:style w:type="paragraph" w:styleId="1002" w:customStyle="1">
    <w:name w:val="TOC 71"/>
    <w:next w:val="766"/>
    <w:uiPriority w:val="0"/>
    <w:qFormat/>
    <w:pPr>
      <w:ind w:left="2550"/>
      <w:jc w:val="both"/>
    </w:pPr>
    <w:rPr>
      <w:rFonts w:hint="default" w:ascii="Times New Roman" w:hAnsi="Times New Roman" w:eastAsia="宋体" w:cs="Times New Roman"/>
      <w:sz w:val="21"/>
      <w:szCs w:val="22"/>
      <w:lang w:val="en-US" w:eastAsia="zh-CN" w:bidi="ar-SA"/>
    </w:rPr>
  </w:style>
  <w:style w:type="character" w:styleId="1003" w:customStyle="1">
    <w:name w:val="正文缩进 Char"/>
    <w:link w:val="778"/>
    <w:uiPriority w:val="0"/>
    <w:qFormat/>
    <w:rPr>
      <w:sz w:val="21"/>
      <w:szCs w:val="21"/>
    </w:rPr>
  </w:style>
  <w:style w:type="character" w:styleId="1004" w:customStyle="1">
    <w:name w:val="标题 3 Char"/>
    <w:link w:val="769"/>
    <w:uiPriority w:val="0"/>
    <w:qFormat/>
    <w:rPr>
      <w:rFonts w:eastAsia="宋体"/>
      <w:b/>
      <w:bCs/>
      <w:sz w:val="32"/>
      <w:szCs w:val="32"/>
      <w:lang w:val="en-US" w:eastAsia="zh-CN" w:bidi="ar-SA"/>
    </w:rPr>
  </w:style>
  <w:style w:type="character" w:styleId="1005" w:customStyle="1">
    <w:name w:val="文档结构图 Char"/>
    <w:link w:val="782"/>
    <w:uiPriority w:val="0"/>
    <w:qFormat/>
    <w:rPr>
      <w:rFonts w:eastAsia="宋体"/>
      <w:sz w:val="21"/>
      <w:szCs w:val="21"/>
      <w:lang w:val="en-US" w:eastAsia="zh-CN" w:bidi="ar-SA"/>
    </w:rPr>
  </w:style>
  <w:style w:type="character" w:styleId="1006" w:customStyle="1">
    <w:name w:val="纯文本 Char"/>
    <w:link w:val="793"/>
    <w:uiPriority w:val="99"/>
    <w:qFormat/>
    <w:rPr>
      <w:rFonts w:ascii="宋体" w:hAnsi="Courier New" w:cs="Courier New"/>
      <w:sz w:val="21"/>
      <w:szCs w:val="21"/>
    </w:rPr>
  </w:style>
  <w:style w:type="paragraph" w:styleId="1007" w:customStyle="1">
    <w:name w:val="首行缩进"/>
    <w:basedOn w:val="766"/>
    <w:uiPriority w:val="0"/>
    <w:qFormat/>
    <w:pPr>
      <w:ind w:firstLine="480"/>
    </w:pPr>
    <w:rPr>
      <w:szCs w:val="20"/>
      <w:lang w:val="zh-CN"/>
    </w:rPr>
  </w:style>
  <w:style w:type="paragraph" w:styleId="1008">
    <w:name w:val="List Paragraph"/>
    <w:basedOn w:val="766"/>
    <w:uiPriority w:val="34"/>
    <w:qFormat/>
    <w:pPr>
      <w:contextualSpacing/>
      <w:ind w:left="720"/>
      <w:jc w:val="left"/>
      <w:widowControl/>
    </w:pPr>
    <w:rPr>
      <w:rFonts w:ascii="Calibri" w:hAnsi="Calibri"/>
      <w:sz w:val="24"/>
      <w:szCs w:val="24"/>
      <w:lang w:eastAsia="en-US" w:bidi="en-US"/>
    </w:rPr>
  </w:style>
  <w:style w:type="character" w:styleId="1009" w:customStyle="1">
    <w:name w:val="font41"/>
    <w:uiPriority w:val="0"/>
    <w:qFormat/>
    <w:rPr>
      <w:rFonts w:hint="eastAsia" w:ascii="宋体" w:hAnsi="宋体" w:eastAsia="宋体" w:cs="宋体"/>
      <w:b/>
      <w:bCs/>
      <w:color w:val="000000"/>
      <w:sz w:val="22"/>
      <w:szCs w:val="22"/>
      <w:u w:val="none"/>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66"/>
    <w:link w:val="1010"/>
    <w:uiPriority w:val="0"/>
    <w:qFormat/>
    <w:pPr>
      <w:contextualSpacing/>
      <w:ind w:left="720"/>
      <w:jc w:val="left"/>
      <w:widowControl/>
    </w:pPr>
    <w:rPr>
      <w:rFonts w:ascii="Calibri" w:hAnsi="Calibri"/>
      <w:sz w:val="24"/>
      <w:szCs w:val="24"/>
      <w:lang w:eastAsia="en-US" w:bidi="en-US"/>
    </w:rPr>
  </w:style>
  <w:style w:type="character" w:styleId="1012" w:customStyle="1">
    <w:name w:val="font71"/>
    <w:uiPriority w:val="0"/>
    <w:qFormat/>
    <w:rPr>
      <w:rFonts w:ascii="Cambria Math" w:hAnsi="Cambria Math" w:eastAsia="Cambria Math" w:cs="Cambria Math"/>
      <w:color w:val="000000"/>
      <w:sz w:val="22"/>
      <w:szCs w:val="22"/>
      <w:u w:val="none"/>
    </w:rPr>
  </w:style>
  <w:style w:type="character" w:styleId="1013" w:customStyle="1">
    <w:name w:val="font91"/>
    <w:uiPriority w:val="0"/>
    <w:qFormat/>
    <w:rPr>
      <w:rFonts w:hint="eastAsia" w:ascii="宋体" w:hAnsi="宋体" w:eastAsia="宋体" w:cs="宋体"/>
      <w:color w:val="ff0000"/>
      <w:sz w:val="22"/>
      <w:szCs w:val="22"/>
      <w:u w:val="none"/>
    </w:rPr>
  </w:style>
  <w:style w:type="character" w:styleId="1014" w:customStyle="1">
    <w:name w:val="font5 Char"/>
    <w:uiPriority w:val="0"/>
    <w:qFormat/>
    <w:rPr>
      <w:rFonts w:ascii="宋体" w:hAnsi="宋体" w:eastAsia="宋体"/>
      <w:sz w:val="28"/>
      <w:szCs w:val="28"/>
      <w:lang w:val="en-US" w:eastAsia="zh-CN" w:bidi="ar-SA"/>
    </w:rPr>
  </w:style>
  <w:style w:type="character" w:styleId="1015" w:customStyle="1">
    <w:name w:val="二级目录 Char"/>
    <w:link w:val="1016"/>
    <w:uiPriority w:val="0"/>
    <w:qFormat/>
    <w:rPr>
      <w:b/>
      <w:sz w:val="30"/>
      <w:szCs w:val="28"/>
    </w:rPr>
  </w:style>
  <w:style w:type="paragraph" w:styleId="1016" w:customStyle="1">
    <w:name w:val="二级目录"/>
    <w:next w:val="766"/>
    <w:link w:val="101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7" w:customStyle="1">
    <w:name w:val="apple-converted-space"/>
    <w:uiPriority w:val="99"/>
    <w:qFormat/>
  </w:style>
  <w:style w:type="character" w:styleId="1018" w:customStyle="1">
    <w:name w:val="Char Char Char Char Char"/>
    <w:link w:val="1019"/>
    <w:uiPriority w:val="0"/>
    <w:qFormat/>
    <w:rPr>
      <w:rFonts w:ascii="Tahoma" w:hAnsi="Tahoma" w:eastAsia="宋体"/>
      <w:sz w:val="24"/>
      <w:szCs w:val="24"/>
      <w:lang w:val="en-US" w:eastAsia="zh-CN" w:bidi="ar-SA"/>
    </w:rPr>
  </w:style>
  <w:style w:type="paragraph" w:styleId="1019" w:customStyle="1">
    <w:name w:val="Char Char Char Char"/>
    <w:basedOn w:val="782"/>
    <w:link w:val="1018"/>
    <w:uiPriority w:val="0"/>
    <w:qFormat/>
    <w:pPr>
      <w:spacing w:line="360" w:lineRule="auto"/>
    </w:pPr>
    <w:rPr>
      <w:rFonts w:ascii="Tahoma" w:hAnsi="Tahoma"/>
      <w:sz w:val="24"/>
      <w:szCs w:val="24"/>
    </w:rPr>
  </w:style>
  <w:style w:type="character" w:styleId="1020" w:customStyle="1">
    <w:name w:val="普通正文 Char"/>
    <w:link w:val="1021"/>
    <w:uiPriority w:val="0"/>
    <w:qFormat/>
    <w:rPr>
      <w:rFonts w:ascii="Arial" w:hAnsi="Arial"/>
      <w:sz w:val="24"/>
      <w:szCs w:val="24"/>
    </w:rPr>
  </w:style>
  <w:style w:type="paragraph" w:styleId="1021" w:customStyle="1">
    <w:name w:val="普通正文"/>
    <w:basedOn w:val="766"/>
    <w:link w:val="1020"/>
    <w:uiPriority w:val="0"/>
    <w:qFormat/>
    <w:pPr>
      <w:ind w:firstLine="480"/>
      <w:jc w:val="left"/>
      <w:spacing w:before="120" w:after="120" w:line="360" w:lineRule="auto"/>
    </w:pPr>
    <w:rPr>
      <w:rFonts w:ascii="Arial" w:hAnsi="Arial"/>
      <w:sz w:val="24"/>
      <w:szCs w:val="24"/>
    </w:rPr>
  </w:style>
  <w:style w:type="character" w:styleId="1022" w:customStyle="1">
    <w:name w:val="font51"/>
    <w:uiPriority w:val="0"/>
    <w:qFormat/>
    <w:rPr>
      <w:rFonts w:hint="eastAsia" w:ascii="宋体" w:hAnsi="宋体" w:eastAsia="宋体" w:cs="宋体"/>
      <w:color w:val="000000"/>
      <w:sz w:val="22"/>
      <w:szCs w:val="22"/>
      <w:u w:val="none"/>
    </w:rPr>
  </w:style>
  <w:style w:type="character" w:styleId="1023" w:customStyle="1">
    <w:name w:val="font61"/>
    <w:uiPriority w:val="0"/>
    <w:qFormat/>
    <w:rPr>
      <w:rFonts w:ascii="Wingdings" w:hAnsi="Wingdings" w:cs="Wingdings"/>
      <w:color w:val="000000"/>
      <w:sz w:val="22"/>
      <w:szCs w:val="22"/>
      <w:u w:val="none"/>
    </w:rPr>
  </w:style>
  <w:style w:type="paragraph" w:styleId="1024" w:customStyle="1">
    <w:name w:val="Body Text(ch)"/>
    <w:basedOn w:val="766"/>
    <w:next w:val="786"/>
    <w:uiPriority w:val="0"/>
    <w:qFormat/>
    <w:pPr>
      <w:spacing w:after="120"/>
    </w:pPr>
    <w:rPr>
      <w:rFonts w:ascii="宋体" w:hAnsi="Arial"/>
      <w:bCs/>
      <w:iCs/>
      <w:szCs w:val="24"/>
    </w:rPr>
  </w:style>
  <w:style w:type="paragraph" w:styleId="1025" w:customStyle="1">
    <w:name w:val="普通 (Web)"/>
    <w:basedOn w:val="766"/>
    <w:uiPriority w:val="0"/>
    <w:qFormat/>
    <w:pPr>
      <w:jc w:val="left"/>
      <w:spacing w:before="100" w:beforeAutospacing="1" w:after="100" w:afterAutospacing="1"/>
      <w:widowControl/>
    </w:pPr>
    <w:rPr>
      <w:rFonts w:ascii="宋体" w:hAnsi="宋体"/>
      <w:sz w:val="24"/>
      <w:szCs w:val="24"/>
    </w:rPr>
  </w:style>
  <w:style w:type="paragraph" w:styleId="1026" w:customStyle="1">
    <w:name w:val="xl24"/>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8" w:customStyle="1">
    <w:name w:val="标题1"/>
    <w:basedOn w:val="766"/>
    <w:next w:val="7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table_1stline"/>
    <w:basedOn w:val="766"/>
    <w:uiPriority w:val="0"/>
    <w:qFormat/>
    <w:pPr>
      <w:jc w:val="left"/>
      <w:spacing w:before="120"/>
      <w:widowControl/>
    </w:pPr>
    <w:rPr>
      <w:bCs/>
      <w:sz w:val="20"/>
      <w:szCs w:val="20"/>
      <w:lang w:val="de-DE" w:eastAsia="de-DE"/>
    </w:rPr>
  </w:style>
  <w:style w:type="paragraph" w:styleId="1030" w:customStyle="1">
    <w:name w:val="Achievement"/>
    <w:basedOn w:val="766"/>
    <w:uiPriority w:val="0"/>
    <w:qFormat/>
    <w:pPr>
      <w:numPr>
        <w:ilvl w:val="0"/>
        <w:numId w:val="2"/>
      </w:numPr>
      <w:jc w:val="left"/>
      <w:spacing w:before="60" w:after="60"/>
      <w:widowControl/>
    </w:pPr>
    <w:rPr>
      <w:sz w:val="20"/>
      <w:szCs w:val="20"/>
      <w:lang w:val="it-IT"/>
    </w:rPr>
  </w:style>
  <w:style w:type="paragraph" w:styleId="1031" w:customStyle="1">
    <w:name w:val="_Style 3"/>
    <w:basedOn w:val="766"/>
    <w:uiPriority w:val="34"/>
    <w:qFormat/>
    <w:pPr>
      <w:ind w:firstLine="420"/>
    </w:pPr>
    <w:rPr>
      <w:szCs w:val="24"/>
    </w:rPr>
  </w:style>
  <w:style w:type="paragraph" w:styleId="1032" w:customStyle="1">
    <w:name w:val="table_lines"/>
    <w:basedOn w:val="766"/>
    <w:uiPriority w:val="0"/>
    <w:qFormat/>
    <w:pPr>
      <w:jc w:val="left"/>
      <w:widowControl/>
    </w:pPr>
    <w:rPr>
      <w:sz w:val="20"/>
      <w:szCs w:val="20"/>
      <w:lang w:val="de-DE" w:eastAsia="de-DE"/>
    </w:rPr>
  </w:style>
  <w:style w:type="paragraph" w:styleId="103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Char"/>
    <w:basedOn w:val="766"/>
    <w:uiPriority w:val="0"/>
    <w:qFormat/>
    <w:pPr>
      <w:ind w:firstLine="200"/>
      <w:tabs>
        <w:tab w:val="left" w:pos="360" w:leader="none"/>
      </w:tabs>
    </w:pPr>
    <w:rPr>
      <w:sz w:val="28"/>
      <w:szCs w:val="30"/>
    </w:rPr>
  </w:style>
  <w:style w:type="paragraph" w:styleId="1035" w:customStyle="1">
    <w:name w:val="样式1"/>
    <w:basedOn w:val="766"/>
    <w:uiPriority w:val="0"/>
    <w:qFormat/>
    <w:pPr>
      <w:numPr>
        <w:ilvl w:val="0"/>
        <w:numId w:val="4"/>
      </w:numPr>
    </w:pPr>
    <w:rPr>
      <w:rFonts w:ascii="宋体" w:hAnsi="宋体"/>
    </w:rPr>
  </w:style>
  <w:style w:type="paragraph" w:styleId="1036" w:customStyle="1">
    <w:name w:val="font6"/>
    <w:basedOn w:val="766"/>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标题3"/>
    <w:basedOn w:val="766"/>
    <w:next w:val="766"/>
    <w:uiPriority w:val="0"/>
    <w:qFormat/>
    <w:pPr>
      <w:ind w:firstLine="624"/>
      <w:spacing w:line="590" w:lineRule="atLeast"/>
    </w:pPr>
    <w:rPr>
      <w:rFonts w:ascii="方正黑体_GBK" w:eastAsia="方正黑体_GBK"/>
      <w:sz w:val="32"/>
      <w:szCs w:val="32"/>
    </w:rPr>
  </w:style>
  <w:style w:type="paragraph" w:styleId="1038" w:customStyle="1">
    <w:name w:val="xl25"/>
    <w:basedOn w:val="7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xl30"/>
    <w:basedOn w:val="766"/>
    <w:uiPriority w:val="0"/>
    <w:qFormat/>
    <w:pPr>
      <w:jc w:val="center"/>
      <w:spacing w:before="100" w:beforeAutospacing="1" w:after="100" w:afterAutospacing="1"/>
      <w:widowControl/>
    </w:pPr>
    <w:rPr>
      <w:rFonts w:ascii="宋体" w:hAnsi="宋体"/>
      <w:b/>
      <w:bCs/>
      <w:sz w:val="36"/>
      <w:szCs w:val="36"/>
    </w:rPr>
  </w:style>
  <w:style w:type="paragraph" w:styleId="1040" w:customStyle="1">
    <w:name w:val="xl2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1" w:customStyle="1">
    <w:name w:val="Table Paragraph"/>
    <w:basedOn w:val="766"/>
    <w:uiPriority w:val="1"/>
    <w:qFormat/>
    <w:pPr>
      <w:spacing w:line="276" w:lineRule="auto"/>
    </w:pPr>
    <w:rPr>
      <w:rFonts w:ascii="Calibri" w:hAnsi="Calibri" w:cs="Calibri"/>
      <w:szCs w:val="22"/>
    </w:rPr>
  </w:style>
  <w:style w:type="paragraph" w:styleId="1042" w:customStyle="1">
    <w:name w:val="Char Char Char Char1"/>
    <w:basedOn w:val="782"/>
    <w:uiPriority w:val="0"/>
    <w:qFormat/>
    <w:pPr>
      <w:spacing w:line="360" w:lineRule="auto"/>
    </w:pPr>
    <w:rPr>
      <w:rFonts w:ascii="Tahoma" w:hAnsi="Tahoma"/>
      <w:sz w:val="24"/>
      <w:szCs w:val="24"/>
    </w:rPr>
  </w:style>
  <w:style w:type="paragraph" w:styleId="1043" w:customStyle="1">
    <w:name w:val="_Style 5"/>
    <w:basedOn w:val="766"/>
    <w:next w:val="1008"/>
    <w:uiPriority w:val="99"/>
    <w:qFormat/>
    <w:pPr>
      <w:ind w:firstLine="420"/>
    </w:pPr>
    <w:rPr>
      <w:szCs w:val="22"/>
    </w:rPr>
  </w:style>
  <w:style w:type="paragraph" w:styleId="1044" w:customStyle="1">
    <w:name w:val="font5"/>
    <w:basedOn w:val="766"/>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Other|1"/>
    <w:basedOn w:val="766"/>
    <w:uiPriority w:val="0"/>
    <w:qFormat/>
    <w:pPr>
      <w:spacing w:after="140" w:line="324" w:lineRule="auto"/>
    </w:pPr>
    <w:rPr>
      <w:rFonts w:ascii="宋体" w:hAnsi="宋体" w:cs="宋体"/>
      <w:sz w:val="20"/>
      <w:szCs w:val="20"/>
      <w:lang w:val="zh-TW" w:eastAsia="zh-TW" w:bidi="zh-TW"/>
    </w:rPr>
  </w:style>
  <w:style w:type="paragraph" w:styleId="1046" w:customStyle="1">
    <w:name w:val="Char Char Char Char Char Char Char Char Char Char"/>
    <w:basedOn w:val="766"/>
    <w:uiPriority w:val="0"/>
    <w:qFormat/>
    <w:pPr>
      <w:spacing w:line="360" w:lineRule="auto"/>
    </w:pPr>
    <w:rPr>
      <w:sz w:val="24"/>
      <w:szCs w:val="20"/>
    </w:rPr>
  </w:style>
  <w:style w:type="paragraph" w:styleId="1047" w:customStyle="1">
    <w:name w:val="xl29"/>
    <w:basedOn w:val="7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customStyle="1">
    <w:name w:val="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49" w:customStyle="1">
    <w:name w:val="xl2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font7"/>
    <w:basedOn w:val="766"/>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图标"/>
    <w:basedOn w:val="766"/>
    <w:next w:val="7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customStyle="1">
    <w:name w:val="Char1"/>
    <w:basedOn w:val="782"/>
    <w:uiPriority w:val="0"/>
    <w:qFormat/>
    <w:rPr>
      <w:rFonts w:ascii="Tahoma" w:hAnsi="Tahoma"/>
      <w:sz w:val="24"/>
      <w:szCs w:val="24"/>
    </w:rPr>
  </w:style>
  <w:style w:type="paragraph" w:styleId="1053" w:customStyle="1">
    <w:name w:val="4"/>
    <w:basedOn w:val="766"/>
    <w:next w:val="807"/>
    <w:uiPriority w:val="99"/>
    <w:qFormat/>
    <w:pPr>
      <w:ind w:firstLine="420"/>
      <w:spacing w:line="360" w:lineRule="auto"/>
    </w:pPr>
    <w:rPr>
      <w:color w:val="ff0000"/>
      <w:sz w:val="24"/>
      <w:szCs w:val="24"/>
    </w:rPr>
  </w:style>
  <w:style w:type="paragraph" w:styleId="1054" w:customStyle="1">
    <w:name w:val="Char Char Char Char Char Char Char Char1"/>
    <w:basedOn w:val="766"/>
    <w:uiPriority w:val="0"/>
    <w:qFormat/>
    <w:pPr>
      <w:jc w:val="left"/>
      <w:spacing w:after="160" w:line="240" w:lineRule="exact"/>
      <w:widowControl/>
    </w:pPr>
    <w:rPr>
      <w:rFonts w:ascii="Verdana" w:hAnsi="Verdana"/>
      <w:sz w:val="20"/>
      <w:szCs w:val="20"/>
      <w:lang w:eastAsia="en-US"/>
    </w:rPr>
  </w:style>
  <w:style w:type="character" w:styleId="1055" w:customStyle="1">
    <w:name w:val="font31"/>
    <w:uiPriority w:val="0"/>
    <w:qFormat/>
    <w:rPr>
      <w:rFonts w:hint="eastAsia" w:ascii="黑体" w:hAnsi="宋体" w:eastAsia="黑体" w:cs="黑体"/>
      <w:color w:val="000000"/>
      <w:sz w:val="13"/>
      <w:szCs w:val="13"/>
      <w:u w:val="none"/>
    </w:rPr>
  </w:style>
  <w:style w:type="character" w:styleId="1056" w:customStyle="1">
    <w:name w:val="NormalCharacter"/>
    <w:uiPriority w:val="0"/>
    <w:qFormat/>
    <w:rPr>
      <w:rFonts w:ascii="Times New Roman" w:hAnsi="Times New Roman" w:eastAsia="宋体"/>
    </w:rPr>
  </w:style>
  <w:style w:type="paragraph" w:styleId="1057" w:customStyle="1">
    <w:name w:val="标题 41"/>
    <w:basedOn w:val="766"/>
    <w:next w:val="1058"/>
    <w:uiPriority w:val="9"/>
    <w:qFormat/>
    <w:pPr>
      <w:keepLines/>
      <w:keepNext/>
      <w:spacing w:before="280" w:after="290" w:line="374" w:lineRule="auto"/>
      <w:outlineLvl w:val="3"/>
    </w:pPr>
    <w:rPr>
      <w:rFonts w:ascii="Arial" w:hAnsi="Arial" w:eastAsia="黑体" w:cs="Arial"/>
      <w:b/>
      <w:bCs/>
      <w:sz w:val="28"/>
      <w:szCs w:val="28"/>
    </w:rPr>
  </w:style>
  <w:style w:type="paragraph" w:styleId="1058" w:customStyle="1">
    <w:name w:val="正文缩进1"/>
    <w:basedOn w:val="766"/>
    <w:uiPriority w:val="0"/>
    <w:qFormat/>
    <w:pPr>
      <w:ind w:firstLine="420"/>
    </w:pPr>
  </w:style>
  <w:style w:type="paragraph" w:styleId="1059" w:customStyle="1">
    <w:name w:val="标题 21"/>
    <w:basedOn w:val="766"/>
    <w:next w:val="10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0" w:customStyle="1">
    <w:name w:val="标题 31"/>
    <w:basedOn w:val="766"/>
    <w:next w:val="1058"/>
    <w:uiPriority w:val="0"/>
    <w:qFormat/>
    <w:pPr>
      <w:keepLines/>
      <w:keepNext/>
      <w:spacing w:before="260" w:after="260" w:line="416" w:lineRule="auto"/>
      <w:outlineLvl w:val="2"/>
    </w:pPr>
    <w:rPr>
      <w:b/>
      <w:bCs/>
      <w:sz w:val="32"/>
      <w:szCs w:val="32"/>
    </w:rPr>
  </w:style>
  <w:style w:type="paragraph" w:styleId="106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2" w:customStyle="1">
    <w:name w:val="Table Normal"/>
    <w:uiPriority w:val="0"/>
    <w:semiHidden/>
    <w:unhideWhenUsed/>
    <w:qFormat/>
    <w:tblPr>
      <w:tblCellMar>
        <w:left w:w="0" w:type="dxa"/>
        <w:top w:w="0" w:type="dxa"/>
        <w:right w:w="0" w:type="dxa"/>
        <w:bottom w:w="0" w:type="dxa"/>
      </w:tblCellMar>
    </w:tblPr>
  </w:style>
  <w:style w:type="character" w:styleId="1063" w:customStyle="1">
    <w:name w:val="active16"/>
    <w:basedOn w:val="776"/>
    <w:uiPriority w:val="0"/>
    <w:qFormat/>
    <w:rPr>
      <w:color w:val="ffffff"/>
      <w:shd w:val="clear" w:color="auto" w:fill="0f5bb9"/>
    </w:rPr>
  </w:style>
  <w:style w:type="character" w:styleId="1064" w:customStyle="1">
    <w:name w:val="active"/>
    <w:basedOn w:val="776"/>
    <w:uiPriority w:val="0"/>
    <w:qFormat/>
    <w:rPr>
      <w:color w:val="ffffff"/>
      <w:shd w:val="clear" w:color="auto" w:fill="0f5bb9"/>
    </w:rPr>
  </w:style>
  <w:style w:type="paragraph" w:styleId="1065" w:customStyle="1">
    <w:name w:val="null3"/>
    <w:hidden/>
    <w:uiPriority w:val="0"/>
    <w:qFormat/>
    <w:rPr>
      <w:rFonts w:hint="eastAsia" w:asciiTheme="minorHAnsi" w:hAnsiTheme="minorHAnsi" w:eastAsiaTheme="minorEastAsia" w:cstheme="minorBidi"/>
      <w:lang w:val="en-US" w:eastAsia="zh-Hans"/>
    </w:rPr>
  </w:style>
  <w:style w:type="character" w:styleId="1066" w:customStyle="1">
    <w:name w:val="font11"/>
    <w:basedOn w:val="776"/>
    <w:uiPriority w:val="0"/>
    <w:qFormat/>
    <w:rPr>
      <w:rFonts w:hint="eastAsia" w:ascii="宋体" w:hAnsi="宋体" w:eastAsia="宋体" w:cs="宋体"/>
      <w:color w:val="000000"/>
      <w:sz w:val="22"/>
      <w:szCs w:val="22"/>
      <w:u w:val="none"/>
    </w:rPr>
  </w:style>
  <w:style w:type="paragraph" w:styleId="1067" w:customStyle="1">
    <w:name w:val="Table Text"/>
    <w:basedOn w:val="766"/>
    <w:uiPriority w:val="0"/>
    <w:semiHidden/>
    <w:qFormat/>
    <w:rPr>
      <w:rFonts w:ascii="宋体" w:hAnsi="宋体" w:eastAsia="宋体" w:cs="宋体"/>
      <w:sz w:val="24"/>
      <w:szCs w:val="24"/>
      <w:lang w:val="en-US" w:eastAsia="en-US" w:bidi="ar-SA"/>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大丰季洪涛</cp:lastModifiedBy>
  <cp:revision>32</cp:revision>
  <dcterms:created xsi:type="dcterms:W3CDTF">2023-04-17T08:19:00Z</dcterms:created>
  <dcterms:modified xsi:type="dcterms:W3CDTF">2025-12-10T03:17:56Z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435349885E2141E892E4316CB74B1EF8_13</vt:lpwstr>
  </property>
  <property fmtid="{D5CDD505-2E9C-101B-9397-08002B2CF9AE}" pid="4" name="KSOTemplateDocerSaveRecord">
    <vt:lpwstr>eyJoZGlkIjoiMjdiNTNiMGM1NzMxZWFjNWM0ZGY4ZTFhNDA1NTFkYjgiLCJ1c2VySWQiOiIzMjMzMzQ5MzEifQ==</vt:lpwstr>
  </property>
</Properties>
</file>